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F1CAB3" w14:textId="77777777" w:rsidR="00AF4C42" w:rsidRDefault="007F0C49" w:rsidP="00E02244">
      <w:pPr>
        <w:spacing w:line="480" w:lineRule="auto"/>
        <w:jc w:val="right"/>
        <w:rPr>
          <w:rFonts w:ascii="Times New Roman" w:hAnsi="Times New Roman" w:cs="Times New Roman"/>
          <w:sz w:val="24"/>
          <w:szCs w:val="24"/>
        </w:rPr>
      </w:pPr>
      <w:r>
        <w:rPr>
          <w:rFonts w:ascii="Times New Roman" w:hAnsi="Times New Roman" w:cs="Times New Roman"/>
          <w:sz w:val="24"/>
          <w:szCs w:val="24"/>
        </w:rPr>
        <w:t>Emily Johnson</w:t>
      </w:r>
    </w:p>
    <w:p w14:paraId="56F9E7AE" w14:textId="7F16D180" w:rsidR="007F0C49" w:rsidRDefault="007F0C49" w:rsidP="007F0C49">
      <w:pPr>
        <w:spacing w:line="480" w:lineRule="auto"/>
        <w:jc w:val="center"/>
        <w:rPr>
          <w:rFonts w:ascii="Times New Roman" w:hAnsi="Times New Roman" w:cs="Times New Roman"/>
          <w:sz w:val="24"/>
          <w:szCs w:val="24"/>
        </w:rPr>
      </w:pPr>
      <w:r>
        <w:rPr>
          <w:rFonts w:ascii="Times New Roman" w:hAnsi="Times New Roman" w:cs="Times New Roman"/>
          <w:sz w:val="24"/>
          <w:szCs w:val="24"/>
        </w:rPr>
        <w:t>An Analysis o</w:t>
      </w:r>
      <w:r w:rsidR="005D2C21">
        <w:rPr>
          <w:rFonts w:ascii="Times New Roman" w:hAnsi="Times New Roman" w:cs="Times New Roman"/>
          <w:sz w:val="24"/>
          <w:szCs w:val="24"/>
        </w:rPr>
        <w:t>f</w:t>
      </w:r>
      <w:r>
        <w:rPr>
          <w:rFonts w:ascii="Times New Roman" w:hAnsi="Times New Roman" w:cs="Times New Roman"/>
          <w:sz w:val="24"/>
          <w:szCs w:val="24"/>
        </w:rPr>
        <w:t xml:space="preserve"> the Current Historiography o</w:t>
      </w:r>
      <w:r w:rsidR="005D2C21">
        <w:rPr>
          <w:rFonts w:ascii="Times New Roman" w:hAnsi="Times New Roman" w:cs="Times New Roman"/>
          <w:sz w:val="24"/>
          <w:szCs w:val="24"/>
        </w:rPr>
        <w:t>n</w:t>
      </w:r>
      <w:r>
        <w:rPr>
          <w:rFonts w:ascii="Times New Roman" w:hAnsi="Times New Roman" w:cs="Times New Roman"/>
          <w:sz w:val="24"/>
          <w:szCs w:val="24"/>
        </w:rPr>
        <w:t xml:space="preserve"> the </w:t>
      </w:r>
      <w:r w:rsidR="005D2C21">
        <w:rPr>
          <w:rFonts w:ascii="Times New Roman" w:hAnsi="Times New Roman" w:cs="Times New Roman"/>
          <w:sz w:val="24"/>
          <w:szCs w:val="24"/>
        </w:rPr>
        <w:t>Soviet</w:t>
      </w:r>
      <w:r>
        <w:rPr>
          <w:rFonts w:ascii="Times New Roman" w:hAnsi="Times New Roman" w:cs="Times New Roman"/>
          <w:sz w:val="24"/>
          <w:szCs w:val="24"/>
        </w:rPr>
        <w:t xml:space="preserve"> Home</w:t>
      </w:r>
      <w:r w:rsidR="006E4742">
        <w:rPr>
          <w:rFonts w:ascii="Times New Roman" w:hAnsi="Times New Roman" w:cs="Times New Roman"/>
          <w:sz w:val="24"/>
          <w:szCs w:val="24"/>
        </w:rPr>
        <w:t xml:space="preserve"> F</w:t>
      </w:r>
      <w:r>
        <w:rPr>
          <w:rFonts w:ascii="Times New Roman" w:hAnsi="Times New Roman" w:cs="Times New Roman"/>
          <w:sz w:val="24"/>
          <w:szCs w:val="24"/>
        </w:rPr>
        <w:t xml:space="preserve">ront </w:t>
      </w:r>
      <w:r w:rsidR="006E4742">
        <w:rPr>
          <w:rFonts w:ascii="Times New Roman" w:hAnsi="Times New Roman" w:cs="Times New Roman"/>
          <w:sz w:val="24"/>
          <w:szCs w:val="24"/>
        </w:rPr>
        <w:t>d</w:t>
      </w:r>
      <w:r>
        <w:rPr>
          <w:rFonts w:ascii="Times New Roman" w:hAnsi="Times New Roman" w:cs="Times New Roman"/>
          <w:sz w:val="24"/>
          <w:szCs w:val="24"/>
        </w:rPr>
        <w:t>uring WWII</w:t>
      </w:r>
    </w:p>
    <w:p w14:paraId="4C39CFF5" w14:textId="1940BF4E" w:rsidR="00887304" w:rsidRDefault="00D83D6B" w:rsidP="007F0C4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Although the topic of the frontlines </w:t>
      </w:r>
      <w:r w:rsidR="008048D9">
        <w:rPr>
          <w:rFonts w:ascii="Times New Roman" w:hAnsi="Times New Roman" w:cs="Times New Roman"/>
          <w:sz w:val="24"/>
          <w:szCs w:val="24"/>
        </w:rPr>
        <w:t>has</w:t>
      </w:r>
      <w:r>
        <w:rPr>
          <w:rFonts w:ascii="Times New Roman" w:hAnsi="Times New Roman" w:cs="Times New Roman"/>
          <w:sz w:val="24"/>
          <w:szCs w:val="24"/>
        </w:rPr>
        <w:t xml:space="preserve"> been common among modern historians looking back on the Soviet Union during World War II, there is little discussion on how the war affected the home front. This omission is perplexing, since the home front of other Allied nations has been covered in great detail and is often used as a show of national unity.</w:t>
      </w:r>
      <w:r w:rsidR="0028326A">
        <w:rPr>
          <w:rFonts w:ascii="Times New Roman" w:hAnsi="Times New Roman" w:cs="Times New Roman"/>
          <w:sz w:val="24"/>
          <w:szCs w:val="24"/>
        </w:rPr>
        <w:t xml:space="preserve"> This can be seen in </w:t>
      </w:r>
      <w:r w:rsidR="00BD6167">
        <w:rPr>
          <w:rFonts w:ascii="Times New Roman" w:hAnsi="Times New Roman" w:cs="Times New Roman"/>
          <w:sz w:val="24"/>
          <w:szCs w:val="24"/>
        </w:rPr>
        <w:t>Western research such as</w:t>
      </w:r>
      <w:r w:rsidR="00837A13">
        <w:rPr>
          <w:rFonts w:ascii="Times New Roman" w:hAnsi="Times New Roman" w:cs="Times New Roman"/>
          <w:i/>
          <w:iCs/>
          <w:sz w:val="24"/>
          <w:szCs w:val="24"/>
        </w:rPr>
        <w:t xml:space="preserve"> </w:t>
      </w:r>
      <w:r w:rsidR="00FD1156" w:rsidRPr="00E319FD">
        <w:rPr>
          <w:rFonts w:ascii="Times New Roman" w:hAnsi="Times New Roman" w:cs="Times New Roman"/>
          <w:i/>
          <w:iCs/>
          <w:color w:val="000000"/>
          <w:sz w:val="24"/>
          <w:szCs w:val="24"/>
          <w:bdr w:val="none" w:sz="0" w:space="0" w:color="auto" w:frame="1"/>
          <w:shd w:val="clear" w:color="auto" w:fill="FFFFFF"/>
        </w:rPr>
        <w:t>Mobilizing the Home Front</w:t>
      </w:r>
      <w:r w:rsidR="00E471B2">
        <w:rPr>
          <w:rFonts w:ascii="Times New Roman" w:hAnsi="Times New Roman" w:cs="Times New Roman"/>
          <w:i/>
          <w:iCs/>
          <w:color w:val="000000"/>
          <w:sz w:val="24"/>
          <w:szCs w:val="24"/>
          <w:bdr w:val="none" w:sz="0" w:space="0" w:color="auto" w:frame="1"/>
          <w:shd w:val="clear" w:color="auto" w:fill="FFFFFF"/>
        </w:rPr>
        <w:t>:</w:t>
      </w:r>
      <w:r w:rsidR="00FD1156" w:rsidRPr="00E319FD">
        <w:rPr>
          <w:rFonts w:ascii="Times New Roman" w:hAnsi="Times New Roman" w:cs="Times New Roman"/>
          <w:i/>
          <w:iCs/>
          <w:color w:val="000000"/>
          <w:sz w:val="24"/>
          <w:szCs w:val="24"/>
          <w:bdr w:val="none" w:sz="0" w:space="0" w:color="auto" w:frame="1"/>
          <w:shd w:val="clear" w:color="auto" w:fill="FFFFFF"/>
        </w:rPr>
        <w:t xml:space="preserve"> War Bonds and Domestic Propaganda</w:t>
      </w:r>
      <w:r w:rsidR="0028326A">
        <w:rPr>
          <w:rFonts w:ascii="Times New Roman" w:hAnsi="Times New Roman" w:cs="Times New Roman"/>
          <w:sz w:val="24"/>
          <w:szCs w:val="24"/>
        </w:rPr>
        <w:t xml:space="preserve">, </w:t>
      </w:r>
      <w:r w:rsidR="00BD6167">
        <w:rPr>
          <w:rFonts w:ascii="Times New Roman" w:hAnsi="Times New Roman" w:cs="Times New Roman"/>
          <w:i/>
          <w:iCs/>
          <w:sz w:val="24"/>
          <w:szCs w:val="24"/>
        </w:rPr>
        <w:t>The Home Front and Beyond: American Women in the 1940s</w:t>
      </w:r>
      <w:r w:rsidR="00BD6167">
        <w:rPr>
          <w:rFonts w:ascii="Times New Roman" w:hAnsi="Times New Roman" w:cs="Times New Roman"/>
          <w:sz w:val="24"/>
          <w:szCs w:val="24"/>
        </w:rPr>
        <w:t xml:space="preserve">, and </w:t>
      </w:r>
      <w:r w:rsidR="00837A13">
        <w:rPr>
          <w:rFonts w:ascii="Times New Roman" w:hAnsi="Times New Roman" w:cs="Times New Roman"/>
          <w:i/>
          <w:iCs/>
          <w:sz w:val="24"/>
          <w:szCs w:val="24"/>
        </w:rPr>
        <w:t>Faith on the Home Front: Aspects of Church Life and Popular Religion in Birmingham, 1939-</w:t>
      </w:r>
      <w:r w:rsidR="00837A13" w:rsidRPr="00837A13">
        <w:rPr>
          <w:rFonts w:ascii="Times New Roman" w:hAnsi="Times New Roman" w:cs="Times New Roman"/>
          <w:sz w:val="24"/>
          <w:szCs w:val="24"/>
        </w:rPr>
        <w:t>1945</w:t>
      </w:r>
      <w:r w:rsidR="00837A13">
        <w:rPr>
          <w:rFonts w:ascii="Times New Roman" w:hAnsi="Times New Roman" w:cs="Times New Roman"/>
          <w:sz w:val="24"/>
          <w:szCs w:val="24"/>
        </w:rPr>
        <w:t xml:space="preserve">, </w:t>
      </w:r>
      <w:r w:rsidR="00BD6167" w:rsidRPr="00837A13">
        <w:rPr>
          <w:rFonts w:ascii="Times New Roman" w:hAnsi="Times New Roman" w:cs="Times New Roman"/>
          <w:sz w:val="24"/>
          <w:szCs w:val="24"/>
        </w:rPr>
        <w:t>to</w:t>
      </w:r>
      <w:r w:rsidR="00BD6167">
        <w:rPr>
          <w:rFonts w:ascii="Times New Roman" w:hAnsi="Times New Roman" w:cs="Times New Roman"/>
          <w:sz w:val="24"/>
          <w:szCs w:val="24"/>
        </w:rPr>
        <w:t xml:space="preserve"> name a few</w:t>
      </w:r>
      <w:r w:rsidR="00401F6F">
        <w:rPr>
          <w:rFonts w:ascii="Times New Roman" w:hAnsi="Times New Roman" w:cs="Times New Roman"/>
          <w:sz w:val="24"/>
          <w:szCs w:val="24"/>
        </w:rPr>
        <w:t>.</w:t>
      </w:r>
      <w:r w:rsidR="00401F6F">
        <w:rPr>
          <w:rStyle w:val="FootnoteReference"/>
          <w:rFonts w:ascii="Times New Roman" w:hAnsi="Times New Roman" w:cs="Times New Roman"/>
          <w:sz w:val="24"/>
          <w:szCs w:val="24"/>
        </w:rPr>
        <w:footnoteReference w:id="1"/>
      </w:r>
      <w:r w:rsidR="0028326A">
        <w:rPr>
          <w:rFonts w:ascii="Times New Roman" w:hAnsi="Times New Roman" w:cs="Times New Roman"/>
          <w:sz w:val="24"/>
          <w:szCs w:val="24"/>
        </w:rPr>
        <w:t xml:space="preserve"> </w:t>
      </w:r>
      <w:r w:rsidR="00387AB3">
        <w:rPr>
          <w:rFonts w:ascii="Times New Roman" w:hAnsi="Times New Roman" w:cs="Times New Roman"/>
          <w:sz w:val="24"/>
          <w:szCs w:val="24"/>
        </w:rPr>
        <w:t>During the course of this research, the term “home front” rarely appeared in works on the Soviet Union and had only one source in which it was placed in the title.</w:t>
      </w:r>
      <w:r w:rsidR="00387AB3">
        <w:rPr>
          <w:rStyle w:val="FootnoteReference"/>
          <w:rFonts w:ascii="Times New Roman" w:hAnsi="Times New Roman" w:cs="Times New Roman"/>
          <w:sz w:val="24"/>
          <w:szCs w:val="24"/>
        </w:rPr>
        <w:footnoteReference w:id="2"/>
      </w:r>
      <w:r w:rsidR="00387AB3">
        <w:rPr>
          <w:rFonts w:ascii="Times New Roman" w:hAnsi="Times New Roman" w:cs="Times New Roman"/>
          <w:sz w:val="24"/>
          <w:szCs w:val="24"/>
        </w:rPr>
        <w:t xml:space="preserve"> </w:t>
      </w:r>
      <w:r w:rsidRPr="0028326A">
        <w:rPr>
          <w:rFonts w:ascii="Times New Roman" w:hAnsi="Times New Roman" w:cs="Times New Roman"/>
          <w:sz w:val="24"/>
          <w:szCs w:val="24"/>
        </w:rPr>
        <w:t>Given</w:t>
      </w:r>
      <w:r>
        <w:rPr>
          <w:rFonts w:ascii="Times New Roman" w:hAnsi="Times New Roman" w:cs="Times New Roman"/>
          <w:sz w:val="24"/>
          <w:szCs w:val="24"/>
        </w:rPr>
        <w:t xml:space="preserve"> that the USSR was desperate to showcase the unity and strength of its people, why then would the home front go </w:t>
      </w:r>
      <w:r w:rsidR="00441D35">
        <w:rPr>
          <w:rFonts w:ascii="Times New Roman" w:hAnsi="Times New Roman" w:cs="Times New Roman"/>
          <w:sz w:val="24"/>
          <w:szCs w:val="24"/>
        </w:rPr>
        <w:t>under studied</w:t>
      </w:r>
      <w:r>
        <w:rPr>
          <w:rFonts w:ascii="Times New Roman" w:hAnsi="Times New Roman" w:cs="Times New Roman"/>
          <w:sz w:val="24"/>
          <w:szCs w:val="24"/>
        </w:rPr>
        <w:t xml:space="preserve">? </w:t>
      </w:r>
      <w:r w:rsidR="00887304">
        <w:rPr>
          <w:rFonts w:ascii="Times New Roman" w:hAnsi="Times New Roman" w:cs="Times New Roman"/>
          <w:sz w:val="24"/>
          <w:szCs w:val="24"/>
        </w:rPr>
        <w:t xml:space="preserve">While this question will not be answered in the course of this essay, it would be an excellent starting point for future research and should shape the field in the coming decades. Instead, this essay will focus on </w:t>
      </w:r>
      <w:r w:rsidR="00441D35">
        <w:rPr>
          <w:rFonts w:ascii="Times New Roman" w:hAnsi="Times New Roman" w:cs="Times New Roman"/>
          <w:sz w:val="24"/>
          <w:szCs w:val="24"/>
        </w:rPr>
        <w:t>why</w:t>
      </w:r>
      <w:r w:rsidR="00887304">
        <w:rPr>
          <w:rFonts w:ascii="Times New Roman" w:hAnsi="Times New Roman" w:cs="Times New Roman"/>
          <w:sz w:val="24"/>
          <w:szCs w:val="24"/>
        </w:rPr>
        <w:t xml:space="preserve"> the current overall historiography of this topic is poor</w:t>
      </w:r>
      <w:r w:rsidR="00441D35">
        <w:rPr>
          <w:rFonts w:ascii="Times New Roman" w:hAnsi="Times New Roman" w:cs="Times New Roman"/>
          <w:sz w:val="24"/>
          <w:szCs w:val="24"/>
        </w:rPr>
        <w:t>, something that has been noticed by others researching in the field as well</w:t>
      </w:r>
      <w:r w:rsidR="00887304">
        <w:rPr>
          <w:rFonts w:ascii="Times New Roman" w:hAnsi="Times New Roman" w:cs="Times New Roman"/>
          <w:sz w:val="24"/>
          <w:szCs w:val="24"/>
        </w:rPr>
        <w:t>.</w:t>
      </w:r>
      <w:r w:rsidR="00441D35">
        <w:rPr>
          <w:rStyle w:val="FootnoteReference"/>
          <w:rFonts w:ascii="Times New Roman" w:hAnsi="Times New Roman" w:cs="Times New Roman"/>
          <w:sz w:val="24"/>
          <w:szCs w:val="24"/>
        </w:rPr>
        <w:footnoteReference w:id="3"/>
      </w:r>
      <w:r w:rsidR="00887304">
        <w:rPr>
          <w:rFonts w:ascii="Times New Roman" w:hAnsi="Times New Roman" w:cs="Times New Roman"/>
          <w:sz w:val="24"/>
          <w:szCs w:val="24"/>
        </w:rPr>
        <w:t xml:space="preserve"> While research into certain </w:t>
      </w:r>
      <w:r w:rsidR="005E50A8">
        <w:rPr>
          <w:rFonts w:ascii="Times New Roman" w:hAnsi="Times New Roman" w:cs="Times New Roman"/>
          <w:sz w:val="24"/>
          <w:szCs w:val="24"/>
        </w:rPr>
        <w:t>aspects</w:t>
      </w:r>
      <w:r w:rsidR="00887304">
        <w:rPr>
          <w:rFonts w:ascii="Times New Roman" w:hAnsi="Times New Roman" w:cs="Times New Roman"/>
          <w:sz w:val="24"/>
          <w:szCs w:val="24"/>
        </w:rPr>
        <w:t xml:space="preserve"> of the home front has been accomplished, there is much room for improvement</w:t>
      </w:r>
      <w:r w:rsidR="005E50A8">
        <w:rPr>
          <w:rFonts w:ascii="Times New Roman" w:hAnsi="Times New Roman" w:cs="Times New Roman"/>
          <w:sz w:val="24"/>
          <w:szCs w:val="24"/>
        </w:rPr>
        <w:t xml:space="preserve"> </w:t>
      </w:r>
      <w:proofErr w:type="gramStart"/>
      <w:r w:rsidR="005E50A8">
        <w:rPr>
          <w:rFonts w:ascii="Times New Roman" w:hAnsi="Times New Roman" w:cs="Times New Roman"/>
          <w:sz w:val="24"/>
          <w:szCs w:val="24"/>
        </w:rPr>
        <w:lastRenderedPageBreak/>
        <w:t>and</w:t>
      </w:r>
      <w:proofErr w:type="gramEnd"/>
      <w:r w:rsidR="005E50A8">
        <w:rPr>
          <w:rFonts w:ascii="Times New Roman" w:hAnsi="Times New Roman" w:cs="Times New Roman"/>
          <w:sz w:val="24"/>
          <w:szCs w:val="24"/>
        </w:rPr>
        <w:t xml:space="preserve"> a need to view the home front as a cohesive unit</w:t>
      </w:r>
      <w:r w:rsidR="00887304">
        <w:rPr>
          <w:rFonts w:ascii="Times New Roman" w:hAnsi="Times New Roman" w:cs="Times New Roman"/>
          <w:sz w:val="24"/>
          <w:szCs w:val="24"/>
        </w:rPr>
        <w:t>.</w:t>
      </w:r>
      <w:r w:rsidR="00C02D30">
        <w:rPr>
          <w:rFonts w:ascii="Times New Roman" w:hAnsi="Times New Roman" w:cs="Times New Roman"/>
          <w:sz w:val="24"/>
          <w:szCs w:val="24"/>
        </w:rPr>
        <w:t xml:space="preserve"> In this paper, I will argue that the current literature on the historiography of the USSR’s home front is poor.</w:t>
      </w:r>
    </w:p>
    <w:p w14:paraId="5276E81A" w14:textId="4D0CF141" w:rsidR="00C363E7" w:rsidRDefault="00C153B5" w:rsidP="00C153B5">
      <w:pPr>
        <w:spacing w:line="480" w:lineRule="auto"/>
        <w:rPr>
          <w:rFonts w:ascii="Times New Roman" w:hAnsi="Times New Roman" w:cs="Times New Roman"/>
          <w:sz w:val="24"/>
          <w:szCs w:val="24"/>
        </w:rPr>
      </w:pPr>
      <w:r>
        <w:rPr>
          <w:rFonts w:ascii="Times New Roman" w:hAnsi="Times New Roman" w:cs="Times New Roman"/>
          <w:sz w:val="24"/>
          <w:szCs w:val="24"/>
        </w:rPr>
        <w:tab/>
      </w:r>
      <w:r w:rsidR="0002370F">
        <w:rPr>
          <w:rFonts w:ascii="Times New Roman" w:hAnsi="Times New Roman" w:cs="Times New Roman"/>
          <w:sz w:val="24"/>
          <w:szCs w:val="24"/>
        </w:rPr>
        <w:t xml:space="preserve">A burgeoning discussion on Soviet economics during the Second World War has been </w:t>
      </w:r>
      <w:r w:rsidR="00723A98">
        <w:rPr>
          <w:rFonts w:ascii="Times New Roman" w:hAnsi="Times New Roman" w:cs="Times New Roman"/>
          <w:sz w:val="24"/>
          <w:szCs w:val="24"/>
        </w:rPr>
        <w:t xml:space="preserve">one of </w:t>
      </w:r>
      <w:r w:rsidR="0002370F">
        <w:rPr>
          <w:rFonts w:ascii="Times New Roman" w:hAnsi="Times New Roman" w:cs="Times New Roman"/>
          <w:sz w:val="24"/>
          <w:szCs w:val="24"/>
        </w:rPr>
        <w:t>the most recent breakthrough</w:t>
      </w:r>
      <w:r w:rsidR="00723A98">
        <w:rPr>
          <w:rFonts w:ascii="Times New Roman" w:hAnsi="Times New Roman" w:cs="Times New Roman"/>
          <w:sz w:val="24"/>
          <w:szCs w:val="24"/>
        </w:rPr>
        <w:t>s</w:t>
      </w:r>
      <w:r w:rsidR="0002370F">
        <w:rPr>
          <w:rFonts w:ascii="Times New Roman" w:hAnsi="Times New Roman" w:cs="Times New Roman"/>
          <w:sz w:val="24"/>
          <w:szCs w:val="24"/>
        </w:rPr>
        <w:t xml:space="preserve"> in historiography on the home</w:t>
      </w:r>
      <w:r w:rsidR="005035A7">
        <w:rPr>
          <w:rFonts w:ascii="Times New Roman" w:hAnsi="Times New Roman" w:cs="Times New Roman"/>
          <w:sz w:val="24"/>
          <w:szCs w:val="24"/>
        </w:rPr>
        <w:t xml:space="preserve"> </w:t>
      </w:r>
      <w:r w:rsidR="0002370F">
        <w:rPr>
          <w:rFonts w:ascii="Times New Roman" w:hAnsi="Times New Roman" w:cs="Times New Roman"/>
          <w:sz w:val="24"/>
          <w:szCs w:val="24"/>
        </w:rPr>
        <w:t>front.</w:t>
      </w:r>
      <w:r w:rsidR="008B7593">
        <w:rPr>
          <w:rFonts w:ascii="Times New Roman" w:hAnsi="Times New Roman" w:cs="Times New Roman"/>
          <w:sz w:val="24"/>
          <w:szCs w:val="24"/>
        </w:rPr>
        <w:t xml:space="preserve"> By going through archival documentation, scholars examining the Soviet economy have just begun to write its history.</w:t>
      </w:r>
      <w:r w:rsidR="00C363E7">
        <w:rPr>
          <w:rStyle w:val="FootnoteReference"/>
          <w:rFonts w:ascii="Times New Roman" w:hAnsi="Times New Roman" w:cs="Times New Roman"/>
          <w:sz w:val="24"/>
          <w:szCs w:val="24"/>
        </w:rPr>
        <w:footnoteReference w:id="4"/>
      </w:r>
      <w:r w:rsidR="00C363E7">
        <w:rPr>
          <w:rFonts w:ascii="Times New Roman" w:hAnsi="Times New Roman" w:cs="Times New Roman"/>
          <w:sz w:val="24"/>
          <w:szCs w:val="24"/>
        </w:rPr>
        <w:t xml:space="preserve"> </w:t>
      </w:r>
      <w:r w:rsidR="0038062D">
        <w:rPr>
          <w:rFonts w:ascii="Times New Roman" w:hAnsi="Times New Roman" w:cs="Times New Roman"/>
          <w:sz w:val="24"/>
          <w:szCs w:val="24"/>
        </w:rPr>
        <w:t xml:space="preserve">Much archival data had been closed off to the world by the Soviets due to </w:t>
      </w:r>
      <w:r w:rsidR="00C363E7">
        <w:rPr>
          <w:rFonts w:ascii="Times New Roman" w:hAnsi="Times New Roman" w:cs="Times New Roman"/>
          <w:sz w:val="24"/>
          <w:szCs w:val="24"/>
        </w:rPr>
        <w:t xml:space="preserve">the fierce consumerism that occurred </w:t>
      </w:r>
      <w:r w:rsidR="0038062D">
        <w:rPr>
          <w:rFonts w:ascii="Times New Roman" w:hAnsi="Times New Roman" w:cs="Times New Roman"/>
          <w:sz w:val="24"/>
          <w:szCs w:val="24"/>
        </w:rPr>
        <w:t>during the Second World War</w:t>
      </w:r>
      <w:r w:rsidR="00C363E7">
        <w:rPr>
          <w:rFonts w:ascii="Times New Roman" w:hAnsi="Times New Roman" w:cs="Times New Roman"/>
          <w:sz w:val="24"/>
          <w:szCs w:val="24"/>
        </w:rPr>
        <w:t xml:space="preserve"> that officials </w:t>
      </w:r>
      <w:r w:rsidR="0038062D">
        <w:rPr>
          <w:rFonts w:ascii="Times New Roman" w:hAnsi="Times New Roman" w:cs="Times New Roman"/>
          <w:sz w:val="24"/>
          <w:szCs w:val="24"/>
        </w:rPr>
        <w:t>were attempting</w:t>
      </w:r>
      <w:r w:rsidR="00C363E7">
        <w:rPr>
          <w:rFonts w:ascii="Times New Roman" w:hAnsi="Times New Roman" w:cs="Times New Roman"/>
          <w:sz w:val="24"/>
          <w:szCs w:val="24"/>
        </w:rPr>
        <w:t xml:space="preserve"> to hide.</w:t>
      </w:r>
      <w:r w:rsidR="00C363E7">
        <w:rPr>
          <w:rStyle w:val="FootnoteReference"/>
          <w:rFonts w:ascii="Times New Roman" w:hAnsi="Times New Roman" w:cs="Times New Roman"/>
          <w:sz w:val="24"/>
          <w:szCs w:val="24"/>
        </w:rPr>
        <w:footnoteReference w:id="5"/>
      </w:r>
      <w:r w:rsidR="00C363E7">
        <w:rPr>
          <w:rFonts w:ascii="Times New Roman" w:hAnsi="Times New Roman" w:cs="Times New Roman"/>
          <w:sz w:val="24"/>
          <w:szCs w:val="24"/>
        </w:rPr>
        <w:t xml:space="preserve"> </w:t>
      </w:r>
      <w:r w:rsidR="008048D9">
        <w:rPr>
          <w:rFonts w:ascii="Times New Roman" w:hAnsi="Times New Roman" w:cs="Times New Roman"/>
          <w:sz w:val="24"/>
          <w:szCs w:val="24"/>
        </w:rPr>
        <w:t xml:space="preserve">Martin </w:t>
      </w:r>
      <w:proofErr w:type="spellStart"/>
      <w:r w:rsidR="008048D9">
        <w:rPr>
          <w:rFonts w:ascii="Times New Roman" w:hAnsi="Times New Roman" w:cs="Times New Roman"/>
          <w:sz w:val="24"/>
          <w:szCs w:val="24"/>
        </w:rPr>
        <w:t>Kragh</w:t>
      </w:r>
      <w:proofErr w:type="spellEnd"/>
      <w:r w:rsidR="008048D9">
        <w:rPr>
          <w:rFonts w:ascii="Times New Roman" w:hAnsi="Times New Roman" w:cs="Times New Roman"/>
          <w:sz w:val="24"/>
          <w:szCs w:val="24"/>
        </w:rPr>
        <w:t xml:space="preserve"> asserts that </w:t>
      </w:r>
      <w:r w:rsidR="00C363E7">
        <w:rPr>
          <w:rFonts w:ascii="Times New Roman" w:hAnsi="Times New Roman" w:cs="Times New Roman"/>
          <w:sz w:val="24"/>
          <w:szCs w:val="24"/>
        </w:rPr>
        <w:t>coercion formed the foundation of the entire economic system of the Soviet Union, serving as its driving force.</w:t>
      </w:r>
      <w:r w:rsidR="00C363E7">
        <w:rPr>
          <w:rStyle w:val="FootnoteReference"/>
          <w:rFonts w:ascii="Times New Roman" w:hAnsi="Times New Roman" w:cs="Times New Roman"/>
          <w:sz w:val="24"/>
          <w:szCs w:val="24"/>
        </w:rPr>
        <w:footnoteReference w:id="6"/>
      </w:r>
      <w:r w:rsidR="00C363E7">
        <w:rPr>
          <w:rFonts w:ascii="Times New Roman" w:hAnsi="Times New Roman" w:cs="Times New Roman"/>
          <w:sz w:val="24"/>
          <w:szCs w:val="24"/>
        </w:rPr>
        <w:t xml:space="preserve"> Coercion came from an administrative fear of absenteeism hurting the productivity of factories during World War II, which </w:t>
      </w:r>
      <w:proofErr w:type="spellStart"/>
      <w:r w:rsidR="00C363E7">
        <w:rPr>
          <w:rFonts w:ascii="Times New Roman" w:hAnsi="Times New Roman" w:cs="Times New Roman"/>
          <w:sz w:val="24"/>
          <w:szCs w:val="24"/>
        </w:rPr>
        <w:t>Kragh</w:t>
      </w:r>
      <w:proofErr w:type="spellEnd"/>
      <w:r w:rsidR="00C363E7">
        <w:rPr>
          <w:rFonts w:ascii="Times New Roman" w:hAnsi="Times New Roman" w:cs="Times New Roman"/>
          <w:sz w:val="24"/>
          <w:szCs w:val="24"/>
        </w:rPr>
        <w:t xml:space="preserve"> brushes aside in favor of denoting illness as the main cause of factory slow-downs.</w:t>
      </w:r>
      <w:r w:rsidR="00C363E7">
        <w:rPr>
          <w:rStyle w:val="FootnoteReference"/>
          <w:rFonts w:ascii="Times New Roman" w:hAnsi="Times New Roman" w:cs="Times New Roman"/>
          <w:sz w:val="24"/>
          <w:szCs w:val="24"/>
        </w:rPr>
        <w:footnoteReference w:id="7"/>
      </w:r>
      <w:r w:rsidR="00C363E7">
        <w:rPr>
          <w:rFonts w:ascii="Times New Roman" w:hAnsi="Times New Roman" w:cs="Times New Roman"/>
          <w:sz w:val="24"/>
          <w:szCs w:val="24"/>
        </w:rPr>
        <w:t xml:space="preserve"> These illnesses could likely be connected to the low food supply being handed out by the government, as is asserted in P. Charles </w:t>
      </w:r>
      <w:proofErr w:type="spellStart"/>
      <w:r w:rsidR="00C363E7">
        <w:rPr>
          <w:rFonts w:ascii="Times New Roman" w:hAnsi="Times New Roman" w:cs="Times New Roman"/>
          <w:sz w:val="24"/>
          <w:szCs w:val="24"/>
        </w:rPr>
        <w:t>Hachten’s</w:t>
      </w:r>
      <w:proofErr w:type="spellEnd"/>
      <w:r w:rsidR="00C363E7">
        <w:rPr>
          <w:rFonts w:ascii="Times New Roman" w:hAnsi="Times New Roman" w:cs="Times New Roman"/>
          <w:sz w:val="24"/>
          <w:szCs w:val="24"/>
        </w:rPr>
        <w:t xml:space="preserve"> dissertation “Property Relations and the Economic Organization of Soviet Russia, 1941-1948</w:t>
      </w:r>
      <w:r w:rsidR="00C36F47">
        <w:rPr>
          <w:rFonts w:ascii="Times New Roman" w:hAnsi="Times New Roman" w:cs="Times New Roman"/>
          <w:sz w:val="24"/>
          <w:szCs w:val="24"/>
        </w:rPr>
        <w:t>.</w:t>
      </w:r>
      <w:r w:rsidR="00C363E7">
        <w:rPr>
          <w:rFonts w:ascii="Times New Roman" w:hAnsi="Times New Roman" w:cs="Times New Roman"/>
          <w:sz w:val="24"/>
          <w:szCs w:val="24"/>
        </w:rPr>
        <w:t>” The food given out by the government was miniscule and led to people illegally hunting and planting their own gardens during the war.</w:t>
      </w:r>
      <w:r w:rsidR="00C363E7">
        <w:rPr>
          <w:rStyle w:val="FootnoteReference"/>
          <w:rFonts w:ascii="Times New Roman" w:hAnsi="Times New Roman" w:cs="Times New Roman"/>
          <w:sz w:val="24"/>
          <w:szCs w:val="24"/>
        </w:rPr>
        <w:footnoteReference w:id="8"/>
      </w:r>
    </w:p>
    <w:p w14:paraId="36B30F3A" w14:textId="2BA2DCFF" w:rsidR="00C363E7" w:rsidRDefault="00C153B5" w:rsidP="00C153B5">
      <w:pPr>
        <w:spacing w:line="480" w:lineRule="auto"/>
        <w:rPr>
          <w:rFonts w:ascii="Times New Roman" w:hAnsi="Times New Roman" w:cs="Times New Roman"/>
          <w:sz w:val="24"/>
          <w:szCs w:val="24"/>
        </w:rPr>
      </w:pPr>
      <w:r>
        <w:rPr>
          <w:rFonts w:ascii="Times New Roman" w:hAnsi="Times New Roman" w:cs="Times New Roman"/>
          <w:sz w:val="24"/>
          <w:szCs w:val="24"/>
        </w:rPr>
        <w:tab/>
      </w:r>
      <w:r w:rsidR="00030BAD">
        <w:rPr>
          <w:rFonts w:ascii="Times New Roman" w:hAnsi="Times New Roman" w:cs="Times New Roman"/>
          <w:sz w:val="24"/>
          <w:szCs w:val="24"/>
        </w:rPr>
        <w:t>Since access to important archives containing documents on economics has only recently been obtained</w:t>
      </w:r>
      <w:r w:rsidR="00C363E7">
        <w:rPr>
          <w:rFonts w:ascii="Times New Roman" w:hAnsi="Times New Roman" w:cs="Times New Roman"/>
          <w:sz w:val="24"/>
          <w:szCs w:val="24"/>
        </w:rPr>
        <w:t xml:space="preserve">, this </w:t>
      </w:r>
      <w:r w:rsidR="00030BAD">
        <w:rPr>
          <w:rFonts w:ascii="Times New Roman" w:hAnsi="Times New Roman" w:cs="Times New Roman"/>
          <w:sz w:val="24"/>
          <w:szCs w:val="24"/>
        </w:rPr>
        <w:t>piece</w:t>
      </w:r>
      <w:r w:rsidR="00C363E7">
        <w:rPr>
          <w:rFonts w:ascii="Times New Roman" w:hAnsi="Times New Roman" w:cs="Times New Roman"/>
          <w:sz w:val="24"/>
          <w:szCs w:val="24"/>
        </w:rPr>
        <w:t xml:space="preserve"> of the Soviet home front </w:t>
      </w:r>
      <w:r w:rsidR="00030BAD">
        <w:rPr>
          <w:rFonts w:ascii="Times New Roman" w:hAnsi="Times New Roman" w:cs="Times New Roman"/>
          <w:sz w:val="24"/>
          <w:szCs w:val="24"/>
        </w:rPr>
        <w:t>has had little attention</w:t>
      </w:r>
      <w:r w:rsidR="00C363E7">
        <w:rPr>
          <w:rFonts w:ascii="Times New Roman" w:hAnsi="Times New Roman" w:cs="Times New Roman"/>
          <w:sz w:val="24"/>
          <w:szCs w:val="24"/>
        </w:rPr>
        <w:t>.</w:t>
      </w:r>
      <w:r w:rsidR="00C363E7">
        <w:rPr>
          <w:rStyle w:val="FootnoteReference"/>
          <w:rFonts w:ascii="Times New Roman" w:hAnsi="Times New Roman" w:cs="Times New Roman"/>
          <w:sz w:val="24"/>
          <w:szCs w:val="24"/>
        </w:rPr>
        <w:footnoteReference w:id="9"/>
      </w:r>
      <w:r w:rsidR="00C363E7">
        <w:rPr>
          <w:rFonts w:ascii="Times New Roman" w:hAnsi="Times New Roman" w:cs="Times New Roman"/>
          <w:sz w:val="24"/>
          <w:szCs w:val="24"/>
        </w:rPr>
        <w:t xml:space="preserve"> While </w:t>
      </w:r>
      <w:proofErr w:type="spellStart"/>
      <w:r w:rsidR="00C363E7">
        <w:rPr>
          <w:rFonts w:ascii="Times New Roman" w:hAnsi="Times New Roman" w:cs="Times New Roman"/>
          <w:sz w:val="24"/>
          <w:szCs w:val="24"/>
        </w:rPr>
        <w:t>Kragh</w:t>
      </w:r>
      <w:proofErr w:type="spellEnd"/>
      <w:r w:rsidR="00C363E7">
        <w:rPr>
          <w:rFonts w:ascii="Times New Roman" w:hAnsi="Times New Roman" w:cs="Times New Roman"/>
          <w:sz w:val="24"/>
          <w:szCs w:val="24"/>
        </w:rPr>
        <w:t xml:space="preserve"> and </w:t>
      </w:r>
      <w:proofErr w:type="spellStart"/>
      <w:r w:rsidR="00C363E7">
        <w:rPr>
          <w:rFonts w:ascii="Times New Roman" w:hAnsi="Times New Roman" w:cs="Times New Roman"/>
          <w:sz w:val="24"/>
          <w:szCs w:val="24"/>
        </w:rPr>
        <w:t>Hachten</w:t>
      </w:r>
      <w:proofErr w:type="spellEnd"/>
      <w:r w:rsidR="00C363E7">
        <w:rPr>
          <w:rFonts w:ascii="Times New Roman" w:hAnsi="Times New Roman" w:cs="Times New Roman"/>
          <w:sz w:val="24"/>
          <w:szCs w:val="24"/>
        </w:rPr>
        <w:t xml:space="preserve"> grapple with many large topics and Peter </w:t>
      </w:r>
      <w:proofErr w:type="spellStart"/>
      <w:r w:rsidR="00C363E7">
        <w:rPr>
          <w:rFonts w:ascii="Times New Roman" w:hAnsi="Times New Roman" w:cs="Times New Roman"/>
          <w:sz w:val="24"/>
          <w:szCs w:val="24"/>
        </w:rPr>
        <w:t>Gatrell</w:t>
      </w:r>
      <w:proofErr w:type="spellEnd"/>
      <w:r w:rsidR="00C363E7">
        <w:rPr>
          <w:rFonts w:ascii="Times New Roman" w:hAnsi="Times New Roman" w:cs="Times New Roman"/>
          <w:sz w:val="24"/>
          <w:szCs w:val="24"/>
        </w:rPr>
        <w:t xml:space="preserve"> points to other researchers in the field, </w:t>
      </w:r>
      <w:r w:rsidR="00C363E7">
        <w:rPr>
          <w:rFonts w:ascii="Times New Roman" w:hAnsi="Times New Roman" w:cs="Times New Roman"/>
          <w:sz w:val="24"/>
          <w:szCs w:val="24"/>
        </w:rPr>
        <w:lastRenderedPageBreak/>
        <w:t>no broader picture has been fully painted</w:t>
      </w:r>
      <w:r w:rsidR="00030BAD">
        <w:rPr>
          <w:rFonts w:ascii="Times New Roman" w:hAnsi="Times New Roman" w:cs="Times New Roman"/>
          <w:sz w:val="24"/>
          <w:szCs w:val="24"/>
        </w:rPr>
        <w:t xml:space="preserve"> and the use of the term ‘home front’ with regard to economics is nowhere to be found</w:t>
      </w:r>
      <w:r w:rsidR="00C363E7">
        <w:rPr>
          <w:rFonts w:ascii="Times New Roman" w:hAnsi="Times New Roman" w:cs="Times New Roman"/>
          <w:sz w:val="24"/>
          <w:szCs w:val="24"/>
        </w:rPr>
        <w:t>.</w:t>
      </w:r>
      <w:r w:rsidR="00C363E7">
        <w:rPr>
          <w:rStyle w:val="FootnoteReference"/>
          <w:rFonts w:ascii="Times New Roman" w:hAnsi="Times New Roman" w:cs="Times New Roman"/>
          <w:sz w:val="24"/>
          <w:szCs w:val="24"/>
        </w:rPr>
        <w:footnoteReference w:id="10"/>
      </w:r>
      <w:r w:rsidR="00C363E7">
        <w:rPr>
          <w:rFonts w:ascii="Times New Roman" w:hAnsi="Times New Roman" w:cs="Times New Roman"/>
          <w:sz w:val="24"/>
          <w:szCs w:val="24"/>
        </w:rPr>
        <w:t xml:space="preserve"> The economic and industrial aspects of the Soviet home front have not been fully explored yet and need a more detailed analysis. Research in this field could look at the overall effects of the war on economics, on different industries, and on perceptions of factory workers – whether the war united them or made them feel bitter and cynical about their efforts for the front.</w:t>
      </w:r>
    </w:p>
    <w:p w14:paraId="7A650299" w14:textId="22EA113B" w:rsidR="00C363E7" w:rsidRDefault="00C363E7" w:rsidP="009B5F6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Evacuation, deportation, and general migration </w:t>
      </w:r>
      <w:r w:rsidR="00030BAD">
        <w:rPr>
          <w:rFonts w:ascii="Times New Roman" w:hAnsi="Times New Roman" w:cs="Times New Roman"/>
          <w:sz w:val="24"/>
          <w:szCs w:val="24"/>
        </w:rPr>
        <w:t>were major</w:t>
      </w:r>
      <w:r>
        <w:rPr>
          <w:rFonts w:ascii="Times New Roman" w:hAnsi="Times New Roman" w:cs="Times New Roman"/>
          <w:sz w:val="24"/>
          <w:szCs w:val="24"/>
        </w:rPr>
        <w:t xml:space="preserve"> themes in the Soviet home front. Those that were powerful and influential – along with those who were simply working in the industrial sector – were moved to the </w:t>
      </w:r>
      <w:r w:rsidR="00E643D6">
        <w:rPr>
          <w:rFonts w:ascii="Times New Roman" w:hAnsi="Times New Roman" w:cs="Times New Roman"/>
          <w:sz w:val="24"/>
          <w:szCs w:val="24"/>
        </w:rPr>
        <w:t>e</w:t>
      </w:r>
      <w:r>
        <w:rPr>
          <w:rFonts w:ascii="Times New Roman" w:hAnsi="Times New Roman" w:cs="Times New Roman"/>
          <w:sz w:val="24"/>
          <w:szCs w:val="24"/>
        </w:rPr>
        <w:t xml:space="preserve">ast as the war began drawing ever nearer. As </w:t>
      </w:r>
      <w:proofErr w:type="spellStart"/>
      <w:r>
        <w:rPr>
          <w:rFonts w:ascii="Times New Roman" w:hAnsi="Times New Roman" w:cs="Times New Roman"/>
          <w:sz w:val="24"/>
          <w:szCs w:val="24"/>
        </w:rPr>
        <w:t>Hachten</w:t>
      </w:r>
      <w:proofErr w:type="spellEnd"/>
      <w:r>
        <w:rPr>
          <w:rFonts w:ascii="Times New Roman" w:hAnsi="Times New Roman" w:cs="Times New Roman"/>
          <w:sz w:val="24"/>
          <w:szCs w:val="24"/>
        </w:rPr>
        <w:t xml:space="preserve"> describes in his dissertation, these people were expected to simply drop everything and leave.</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In Rebecca Manley’s book </w:t>
      </w:r>
      <w:r w:rsidRPr="005E795E">
        <w:rPr>
          <w:rFonts w:ascii="Times New Roman" w:hAnsi="Times New Roman" w:cs="Times New Roman"/>
          <w:i/>
          <w:iCs/>
          <w:color w:val="000000"/>
          <w:sz w:val="24"/>
          <w:szCs w:val="24"/>
          <w:bdr w:val="none" w:sz="0" w:space="0" w:color="auto" w:frame="1"/>
          <w:shd w:val="clear" w:color="auto" w:fill="FFFFFF"/>
        </w:rPr>
        <w:t>To the Tashkent Station Evacuation and Survival in the Soviet Union at War</w:t>
      </w:r>
      <w:r>
        <w:rPr>
          <w:rFonts w:ascii="Times New Roman" w:hAnsi="Times New Roman" w:cs="Times New Roman"/>
          <w:color w:val="000000"/>
          <w:sz w:val="24"/>
          <w:szCs w:val="24"/>
          <w:bdr w:val="none" w:sz="0" w:space="0" w:color="auto" w:frame="1"/>
          <w:shd w:val="clear" w:color="auto" w:fill="FFFFFF"/>
        </w:rPr>
        <w:t>,</w:t>
      </w:r>
      <w:r>
        <w:rPr>
          <w:rFonts w:ascii="Times New Roman" w:hAnsi="Times New Roman" w:cs="Times New Roman"/>
          <w:sz w:val="24"/>
          <w:szCs w:val="24"/>
        </w:rPr>
        <w:t xml:space="preserve"> the series of evacuations that scatter</w:t>
      </w:r>
      <w:r w:rsidR="0066149A">
        <w:rPr>
          <w:rFonts w:ascii="Times New Roman" w:hAnsi="Times New Roman" w:cs="Times New Roman"/>
          <w:sz w:val="24"/>
          <w:szCs w:val="24"/>
        </w:rPr>
        <w:t>ed</w:t>
      </w:r>
      <w:r>
        <w:rPr>
          <w:rFonts w:ascii="Times New Roman" w:hAnsi="Times New Roman" w:cs="Times New Roman"/>
          <w:sz w:val="24"/>
          <w:szCs w:val="24"/>
        </w:rPr>
        <w:t xml:space="preserve"> the population of the USSR </w:t>
      </w:r>
      <w:r w:rsidR="0066149A">
        <w:rPr>
          <w:rFonts w:ascii="Times New Roman" w:hAnsi="Times New Roman" w:cs="Times New Roman"/>
          <w:sz w:val="24"/>
          <w:szCs w:val="24"/>
        </w:rPr>
        <w:t>was</w:t>
      </w:r>
      <w:r>
        <w:rPr>
          <w:rFonts w:ascii="Times New Roman" w:hAnsi="Times New Roman" w:cs="Times New Roman"/>
          <w:sz w:val="24"/>
          <w:szCs w:val="24"/>
        </w:rPr>
        <w:t xml:space="preserve"> framed as both voluntary and done out of concern for the general population.</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According to Manley, evacuation became similar to exile and held a distinct stigma </w:t>
      </w:r>
      <w:r w:rsidRPr="008048D9">
        <w:rPr>
          <w:rFonts w:ascii="Times New Roman" w:hAnsi="Times New Roman" w:cs="Times New Roman"/>
          <w:sz w:val="24"/>
          <w:szCs w:val="24"/>
        </w:rPr>
        <w:t>as</w:t>
      </w:r>
      <w:r>
        <w:rPr>
          <w:rFonts w:ascii="Times New Roman" w:hAnsi="Times New Roman" w:cs="Times New Roman"/>
          <w:sz w:val="24"/>
          <w:szCs w:val="24"/>
        </w:rPr>
        <w:t xml:space="preserve"> evacuees began returning home </w:t>
      </w:r>
      <w:r w:rsidR="008048D9">
        <w:rPr>
          <w:rFonts w:ascii="Times New Roman" w:hAnsi="Times New Roman" w:cs="Times New Roman"/>
          <w:sz w:val="24"/>
          <w:szCs w:val="24"/>
        </w:rPr>
        <w:t>while</w:t>
      </w:r>
      <w:r>
        <w:rPr>
          <w:rFonts w:ascii="Times New Roman" w:hAnsi="Times New Roman" w:cs="Times New Roman"/>
          <w:sz w:val="24"/>
          <w:szCs w:val="24"/>
        </w:rPr>
        <w:t xml:space="preserve"> the Red Army pushed westward.</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w:t>
      </w:r>
      <w:proofErr w:type="spellStart"/>
      <w:r>
        <w:rPr>
          <w:rFonts w:ascii="Times New Roman" w:hAnsi="Times New Roman" w:cs="Times New Roman"/>
          <w:sz w:val="24"/>
          <w:szCs w:val="24"/>
        </w:rPr>
        <w:t>Hachten’s</w:t>
      </w:r>
      <w:proofErr w:type="spellEnd"/>
      <w:r>
        <w:rPr>
          <w:rFonts w:ascii="Times New Roman" w:hAnsi="Times New Roman" w:cs="Times New Roman"/>
          <w:sz w:val="24"/>
          <w:szCs w:val="24"/>
        </w:rPr>
        <w:t xml:space="preserve"> work concur</w:t>
      </w:r>
      <w:r w:rsidR="00571F46">
        <w:rPr>
          <w:rFonts w:ascii="Times New Roman" w:hAnsi="Times New Roman" w:cs="Times New Roman"/>
          <w:sz w:val="24"/>
          <w:szCs w:val="24"/>
        </w:rPr>
        <w:t>s</w:t>
      </w:r>
      <w:r>
        <w:rPr>
          <w:rFonts w:ascii="Times New Roman" w:hAnsi="Times New Roman" w:cs="Times New Roman"/>
          <w:sz w:val="24"/>
          <w:szCs w:val="24"/>
        </w:rPr>
        <w:t xml:space="preserve"> with these findings as many evacuees arrived from the rear to discover that their homes had been taken over by squatters </w:t>
      </w:r>
      <w:r w:rsidR="008048D9">
        <w:rPr>
          <w:rFonts w:ascii="Times New Roman" w:hAnsi="Times New Roman" w:cs="Times New Roman"/>
          <w:sz w:val="24"/>
          <w:szCs w:val="24"/>
        </w:rPr>
        <w:t>and</w:t>
      </w:r>
      <w:r>
        <w:rPr>
          <w:rFonts w:ascii="Times New Roman" w:hAnsi="Times New Roman" w:cs="Times New Roman"/>
          <w:sz w:val="24"/>
          <w:szCs w:val="24"/>
        </w:rPr>
        <w:t xml:space="preserve"> many of their possessions </w:t>
      </w:r>
      <w:r w:rsidR="008048D9">
        <w:rPr>
          <w:rFonts w:ascii="Times New Roman" w:hAnsi="Times New Roman" w:cs="Times New Roman"/>
          <w:sz w:val="24"/>
          <w:szCs w:val="24"/>
        </w:rPr>
        <w:t xml:space="preserve">were </w:t>
      </w:r>
      <w:r>
        <w:rPr>
          <w:rFonts w:ascii="Times New Roman" w:hAnsi="Times New Roman" w:cs="Times New Roman"/>
          <w:sz w:val="24"/>
          <w:szCs w:val="24"/>
        </w:rPr>
        <w:t>stolen or missing.</w:t>
      </w:r>
      <w:r>
        <w:rPr>
          <w:rStyle w:val="FootnoteReference"/>
          <w:rFonts w:ascii="Times New Roman" w:hAnsi="Times New Roman" w:cs="Times New Roman"/>
          <w:sz w:val="24"/>
          <w:szCs w:val="24"/>
        </w:rPr>
        <w:footnoteReference w:id="14"/>
      </w:r>
    </w:p>
    <w:p w14:paraId="10219D86" w14:textId="01C647F4" w:rsidR="00C363E7" w:rsidRDefault="00C363E7" w:rsidP="006D6C10">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Deportees, similar to evacuees, were expected to simply leave everything behind and be sent away from their homes.</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Unlike evacuees, however, deportees were not given the impression that this move was a temporary or voluntary situation.</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Manley found that those </w:t>
      </w:r>
      <w:r w:rsidR="005D46F3">
        <w:rPr>
          <w:rFonts w:ascii="Times New Roman" w:hAnsi="Times New Roman" w:cs="Times New Roman"/>
          <w:sz w:val="24"/>
          <w:szCs w:val="24"/>
        </w:rPr>
        <w:t>who</w:t>
      </w:r>
      <w:r>
        <w:rPr>
          <w:rFonts w:ascii="Times New Roman" w:hAnsi="Times New Roman" w:cs="Times New Roman"/>
          <w:sz w:val="24"/>
          <w:szCs w:val="24"/>
        </w:rPr>
        <w:t xml:space="preserve"> were deported would be confined to “special settlements,” from which they would not be allowed to leave.</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Within these “special settlements” men and women of various nationalities would come together in their suffering and attempt to make a home away from home, according to researcher </w:t>
      </w:r>
      <w:proofErr w:type="spellStart"/>
      <w:r>
        <w:rPr>
          <w:rFonts w:ascii="Times New Roman" w:hAnsi="Times New Roman" w:cs="Times New Roman"/>
          <w:sz w:val="24"/>
          <w:szCs w:val="24"/>
        </w:rPr>
        <w:t>Dovile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Budryt</w:t>
      </w:r>
      <w:r w:rsidRPr="00156082">
        <w:rPr>
          <w:rFonts w:ascii="Times New Roman" w:hAnsi="Times New Roman" w:cs="Times New Roman"/>
          <w:color w:val="000000"/>
          <w:sz w:val="24"/>
          <w:szCs w:val="24"/>
          <w:shd w:val="clear" w:color="auto" w:fill="FFFFFF"/>
        </w:rPr>
        <w:t>ė</w:t>
      </w:r>
      <w:proofErr w:type="spellEnd"/>
      <w:r>
        <w:rPr>
          <w:rFonts w:ascii="Times New Roman" w:hAnsi="Times New Roman" w:cs="Times New Roman"/>
          <w:color w:val="000000"/>
          <w:sz w:val="24"/>
          <w:szCs w:val="24"/>
          <w:shd w:val="clear" w:color="auto" w:fill="FFFFFF"/>
        </w:rPr>
        <w:t>.</w:t>
      </w:r>
      <w:r>
        <w:rPr>
          <w:rStyle w:val="FootnoteReference"/>
          <w:rFonts w:ascii="Times New Roman" w:hAnsi="Times New Roman" w:cs="Times New Roman"/>
          <w:color w:val="000000"/>
          <w:sz w:val="24"/>
          <w:szCs w:val="24"/>
          <w:shd w:val="clear" w:color="auto" w:fill="FFFFFF"/>
        </w:rPr>
        <w:footnoteReference w:id="18"/>
      </w:r>
      <w:r>
        <w:rPr>
          <w:rFonts w:ascii="Times New Roman" w:hAnsi="Times New Roman" w:cs="Times New Roman"/>
          <w:sz w:val="24"/>
          <w:szCs w:val="24"/>
        </w:rPr>
        <w:t xml:space="preserve"> The same act of coming together and sharing in suffering could be seen in other areas of the home front. With little food and housing in once-booming urban centers, </w:t>
      </w:r>
      <w:proofErr w:type="spellStart"/>
      <w:r>
        <w:rPr>
          <w:rFonts w:ascii="Times New Roman" w:hAnsi="Times New Roman" w:cs="Times New Roman"/>
          <w:sz w:val="24"/>
          <w:szCs w:val="24"/>
        </w:rPr>
        <w:t>Hachten</w:t>
      </w:r>
      <w:proofErr w:type="spellEnd"/>
      <w:r>
        <w:rPr>
          <w:rFonts w:ascii="Times New Roman" w:hAnsi="Times New Roman" w:cs="Times New Roman"/>
          <w:sz w:val="24"/>
          <w:szCs w:val="24"/>
        </w:rPr>
        <w:t xml:space="preserve"> claims that many denizens of cities began to move in with their rural relatives.</w:t>
      </w:r>
      <w:r>
        <w:rPr>
          <w:rStyle w:val="FootnoteReference"/>
          <w:rFonts w:ascii="Times New Roman" w:hAnsi="Times New Roman" w:cs="Times New Roman"/>
          <w:sz w:val="24"/>
          <w:szCs w:val="24"/>
        </w:rPr>
        <w:footnoteReference w:id="19"/>
      </w:r>
    </w:p>
    <w:p w14:paraId="74A4CD8E" w14:textId="53B46712" w:rsidR="00C363E7" w:rsidRDefault="00C363E7" w:rsidP="006D6C1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While there is significant research on deportations regarding various nationalities, there has been little research into the lives of evacuees and smaller migrations occurring within the Soviet Union during the war. Evacuations were a harsh reality for many people living </w:t>
      </w:r>
      <w:r w:rsidR="00EC10E1">
        <w:rPr>
          <w:rFonts w:ascii="Times New Roman" w:hAnsi="Times New Roman" w:cs="Times New Roman"/>
          <w:sz w:val="24"/>
          <w:szCs w:val="24"/>
        </w:rPr>
        <w:t>on</w:t>
      </w:r>
      <w:r>
        <w:rPr>
          <w:rFonts w:ascii="Times New Roman" w:hAnsi="Times New Roman" w:cs="Times New Roman"/>
          <w:sz w:val="24"/>
          <w:szCs w:val="24"/>
        </w:rPr>
        <w:t xml:space="preserve"> the home front – including a few hundred thousand Leningraders </w:t>
      </w:r>
      <w:r w:rsidR="00EC10E1">
        <w:rPr>
          <w:rFonts w:ascii="Times New Roman" w:hAnsi="Times New Roman" w:cs="Times New Roman"/>
          <w:sz w:val="24"/>
          <w:szCs w:val="24"/>
        </w:rPr>
        <w:t>who</w:t>
      </w:r>
      <w:r>
        <w:rPr>
          <w:rFonts w:ascii="Times New Roman" w:hAnsi="Times New Roman" w:cs="Times New Roman"/>
          <w:sz w:val="24"/>
          <w:szCs w:val="24"/>
        </w:rPr>
        <w:t xml:space="preserve"> were able to escape the walls of the city before the consequences of the siege began to set in.</w:t>
      </w:r>
      <w:r>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w:t>
      </w:r>
      <w:proofErr w:type="gramStart"/>
      <w:r w:rsidR="005D46F3">
        <w:rPr>
          <w:rFonts w:ascii="Times New Roman" w:hAnsi="Times New Roman" w:cs="Times New Roman"/>
          <w:sz w:val="24"/>
          <w:szCs w:val="24"/>
        </w:rPr>
        <w:t>The</w:t>
      </w:r>
      <w:proofErr w:type="gramEnd"/>
      <w:r w:rsidR="005D46F3">
        <w:rPr>
          <w:rFonts w:ascii="Times New Roman" w:hAnsi="Times New Roman" w:cs="Times New Roman"/>
          <w:sz w:val="24"/>
          <w:szCs w:val="24"/>
        </w:rPr>
        <w:t xml:space="preserve"> rest of the Soviet population </w:t>
      </w:r>
      <w:r w:rsidR="00EC10E1">
        <w:rPr>
          <w:rFonts w:ascii="Times New Roman" w:hAnsi="Times New Roman" w:cs="Times New Roman"/>
          <w:sz w:val="24"/>
          <w:szCs w:val="24"/>
        </w:rPr>
        <w:t>faced</w:t>
      </w:r>
      <w:r w:rsidR="005D46F3">
        <w:rPr>
          <w:rFonts w:ascii="Times New Roman" w:hAnsi="Times New Roman" w:cs="Times New Roman"/>
          <w:sz w:val="24"/>
          <w:szCs w:val="24"/>
        </w:rPr>
        <w:t xml:space="preserve"> a similar bleak reality, </w:t>
      </w:r>
      <w:r>
        <w:rPr>
          <w:rFonts w:ascii="Times New Roman" w:hAnsi="Times New Roman" w:cs="Times New Roman"/>
          <w:sz w:val="24"/>
          <w:szCs w:val="24"/>
        </w:rPr>
        <w:t>causing voluntary migrations and mass squatting in cities.</w:t>
      </w:r>
      <w:r>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Though there should be scores of accounts from these citizens and how they dealt with </w:t>
      </w:r>
      <w:r>
        <w:rPr>
          <w:rFonts w:ascii="Times New Roman" w:hAnsi="Times New Roman" w:cs="Times New Roman"/>
          <w:sz w:val="24"/>
          <w:szCs w:val="24"/>
        </w:rPr>
        <w:lastRenderedPageBreak/>
        <w:t>the war, few researchers have given these topics much attention</w:t>
      </w:r>
      <w:r w:rsidR="00EC10E1">
        <w:rPr>
          <w:rFonts w:ascii="Times New Roman" w:hAnsi="Times New Roman" w:cs="Times New Roman"/>
          <w:sz w:val="24"/>
          <w:szCs w:val="24"/>
        </w:rPr>
        <w:t>, with fewer still linking them directly to the term ‘home front.’</w:t>
      </w:r>
    </w:p>
    <w:p w14:paraId="414B72AE" w14:textId="3D0BE5B9" w:rsidR="00C363E7" w:rsidRDefault="00C363E7" w:rsidP="001E1B9E">
      <w:pPr>
        <w:spacing w:line="48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Family units were another major component of the USSR that did not survive the war unscathed, as new researchers are discovering. According to </w:t>
      </w:r>
      <w:proofErr w:type="spellStart"/>
      <w:r>
        <w:rPr>
          <w:rFonts w:ascii="Times New Roman" w:hAnsi="Times New Roman" w:cs="Times New Roman"/>
          <w:sz w:val="24"/>
          <w:szCs w:val="24"/>
        </w:rPr>
        <w:t>Hachten</w:t>
      </w:r>
      <w:proofErr w:type="spellEnd"/>
      <w:r>
        <w:rPr>
          <w:rFonts w:ascii="Times New Roman" w:hAnsi="Times New Roman" w:cs="Times New Roman"/>
          <w:sz w:val="24"/>
          <w:szCs w:val="24"/>
        </w:rPr>
        <w:t xml:space="preserve">, as many family members became separated either by conscription </w:t>
      </w:r>
      <w:r w:rsidR="000A0ED2">
        <w:rPr>
          <w:rFonts w:ascii="Times New Roman" w:hAnsi="Times New Roman" w:cs="Times New Roman"/>
          <w:sz w:val="24"/>
          <w:szCs w:val="24"/>
        </w:rPr>
        <w:t>in</w:t>
      </w:r>
      <w:r>
        <w:rPr>
          <w:rFonts w:ascii="Times New Roman" w:hAnsi="Times New Roman" w:cs="Times New Roman"/>
          <w:sz w:val="24"/>
          <w:szCs w:val="24"/>
        </w:rPr>
        <w:t>to the Red Army or due to evacuation to the rear of the country, the strain of separation was felt as old bonds withered and new ones took their place.</w:t>
      </w:r>
      <w:r>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Edward D. Cohn uncovered evidence to agree with this observation, noting </w:t>
      </w:r>
      <w:r>
        <w:rPr>
          <w:rFonts w:ascii="Times New Roman" w:hAnsi="Times New Roman" w:cs="Times New Roman"/>
          <w:color w:val="000000"/>
          <w:sz w:val="24"/>
          <w:szCs w:val="24"/>
          <w:shd w:val="clear" w:color="auto" w:fill="FFFFFF"/>
        </w:rPr>
        <w:t xml:space="preserve">that troubles with infidelity had begun ripping families apart. While the majority of Cohn’s article deals with the post-war period, he notes that the shift in thinking about preserving family units </w:t>
      </w:r>
      <w:r w:rsidR="000A0ED2">
        <w:rPr>
          <w:rFonts w:ascii="Times New Roman" w:hAnsi="Times New Roman" w:cs="Times New Roman"/>
          <w:color w:val="000000"/>
          <w:sz w:val="24"/>
          <w:szCs w:val="24"/>
          <w:shd w:val="clear" w:color="auto" w:fill="FFFFFF"/>
        </w:rPr>
        <w:t>began</w:t>
      </w:r>
      <w:r>
        <w:rPr>
          <w:rFonts w:ascii="Times New Roman" w:hAnsi="Times New Roman" w:cs="Times New Roman"/>
          <w:color w:val="000000"/>
          <w:sz w:val="24"/>
          <w:szCs w:val="24"/>
          <w:shd w:val="clear" w:color="auto" w:fill="FFFFFF"/>
        </w:rPr>
        <w:t xml:space="preserve"> during the war. This shift finds party members concerned with family abandonment and divorce rates in the USSR.</w:t>
      </w:r>
      <w:r>
        <w:rPr>
          <w:rStyle w:val="FootnoteReference"/>
          <w:rFonts w:ascii="Times New Roman" w:hAnsi="Times New Roman" w:cs="Times New Roman"/>
          <w:color w:val="000000"/>
          <w:sz w:val="24"/>
          <w:szCs w:val="24"/>
          <w:shd w:val="clear" w:color="auto" w:fill="FFFFFF"/>
        </w:rPr>
        <w:footnoteReference w:id="23"/>
      </w:r>
      <w:r>
        <w:rPr>
          <w:rFonts w:ascii="Times New Roman" w:hAnsi="Times New Roman" w:cs="Times New Roman"/>
          <w:color w:val="000000"/>
          <w:sz w:val="24"/>
          <w:szCs w:val="24"/>
          <w:shd w:val="clear" w:color="auto" w:fill="FFFFFF"/>
        </w:rPr>
        <w:t xml:space="preserve"> </w:t>
      </w:r>
    </w:p>
    <w:p w14:paraId="067B4778" w14:textId="796D49AB" w:rsidR="00C363E7" w:rsidRDefault="00C363E7" w:rsidP="001E1B9E">
      <w:pPr>
        <w:spacing w:line="48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Although the aforementioned change came during the war, it did little to aid families of soldiers, as </w:t>
      </w:r>
      <w:proofErr w:type="spellStart"/>
      <w:r>
        <w:rPr>
          <w:rFonts w:ascii="Times New Roman" w:hAnsi="Times New Roman" w:cs="Times New Roman"/>
          <w:color w:val="000000"/>
          <w:sz w:val="24"/>
          <w:szCs w:val="24"/>
          <w:shd w:val="clear" w:color="auto" w:fill="FFFFFF"/>
        </w:rPr>
        <w:t>Beate</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Fiesler</w:t>
      </w:r>
      <w:proofErr w:type="spellEnd"/>
      <w:r>
        <w:rPr>
          <w:rFonts w:ascii="Times New Roman" w:hAnsi="Times New Roman" w:cs="Times New Roman"/>
          <w:color w:val="000000"/>
          <w:sz w:val="24"/>
          <w:szCs w:val="24"/>
          <w:shd w:val="clear" w:color="auto" w:fill="FFFFFF"/>
        </w:rPr>
        <w:t xml:space="preserve"> and Roger </w:t>
      </w:r>
      <w:proofErr w:type="spellStart"/>
      <w:r>
        <w:rPr>
          <w:rFonts w:ascii="Times New Roman" w:hAnsi="Times New Roman" w:cs="Times New Roman"/>
          <w:color w:val="000000"/>
          <w:sz w:val="24"/>
          <w:szCs w:val="24"/>
          <w:shd w:val="clear" w:color="auto" w:fill="FFFFFF"/>
        </w:rPr>
        <w:t>Markwick</w:t>
      </w:r>
      <w:proofErr w:type="spellEnd"/>
      <w:r>
        <w:rPr>
          <w:rFonts w:ascii="Times New Roman" w:hAnsi="Times New Roman" w:cs="Times New Roman"/>
          <w:color w:val="000000"/>
          <w:sz w:val="24"/>
          <w:szCs w:val="24"/>
          <w:shd w:val="clear" w:color="auto" w:fill="FFFFFF"/>
        </w:rPr>
        <w:t xml:space="preserve"> </w:t>
      </w:r>
      <w:r w:rsidR="002A1D7B">
        <w:rPr>
          <w:rFonts w:ascii="Times New Roman" w:hAnsi="Times New Roman" w:cs="Times New Roman"/>
          <w:color w:val="000000"/>
          <w:sz w:val="24"/>
          <w:szCs w:val="24"/>
          <w:shd w:val="clear" w:color="auto" w:fill="FFFFFF"/>
        </w:rPr>
        <w:t>have shown</w:t>
      </w:r>
      <w:r w:rsidRPr="00556CFA">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According to the researchers, the state attempted to provide aid to a few military wives but had very little to give as the war to the west worsened. The situation became increasingly dire to the point where families had to be turned away.</w:t>
      </w:r>
      <w:r>
        <w:rPr>
          <w:rStyle w:val="FootnoteReference"/>
          <w:rFonts w:ascii="Times New Roman" w:hAnsi="Times New Roman" w:cs="Times New Roman"/>
          <w:color w:val="000000"/>
          <w:sz w:val="24"/>
          <w:szCs w:val="24"/>
          <w:shd w:val="clear" w:color="auto" w:fill="FFFFFF"/>
        </w:rPr>
        <w:footnoteReference w:id="24"/>
      </w:r>
      <w:r>
        <w:rPr>
          <w:rFonts w:ascii="Times New Roman" w:hAnsi="Times New Roman" w:cs="Times New Roman"/>
          <w:color w:val="000000"/>
          <w:sz w:val="24"/>
          <w:szCs w:val="24"/>
          <w:shd w:val="clear" w:color="auto" w:fill="FFFFFF"/>
        </w:rPr>
        <w:t xml:space="preserve"> Feeling the full effects of the war as a family unit was tough, but tougher still was when someone within a family unit attracted negative attention from the party. </w:t>
      </w:r>
    </w:p>
    <w:p w14:paraId="42717A4B" w14:textId="3AA5DE50" w:rsidR="00C363E7" w:rsidRDefault="00C363E7" w:rsidP="001E1B9E">
      <w:pPr>
        <w:spacing w:line="48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Both before and during the war, many people in the Soviet Union were subjected to vicious purges that left family units in tatters. </w:t>
      </w:r>
      <w:proofErr w:type="spellStart"/>
      <w:r>
        <w:rPr>
          <w:rFonts w:ascii="Times New Roman" w:hAnsi="Times New Roman" w:cs="Times New Roman"/>
          <w:color w:val="000000"/>
          <w:sz w:val="24"/>
          <w:szCs w:val="24"/>
          <w:shd w:val="clear" w:color="auto" w:fill="FFFFFF"/>
        </w:rPr>
        <w:t>Golfo</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Alexopo</w:t>
      </w:r>
      <w:r w:rsidR="009F23B3">
        <w:rPr>
          <w:rFonts w:ascii="Times New Roman" w:hAnsi="Times New Roman" w:cs="Times New Roman"/>
          <w:color w:val="000000"/>
          <w:sz w:val="24"/>
          <w:szCs w:val="24"/>
          <w:shd w:val="clear" w:color="auto" w:fill="FFFFFF"/>
        </w:rPr>
        <w:t>u</w:t>
      </w:r>
      <w:r>
        <w:rPr>
          <w:rFonts w:ascii="Times New Roman" w:hAnsi="Times New Roman" w:cs="Times New Roman"/>
          <w:color w:val="000000"/>
          <w:sz w:val="24"/>
          <w:szCs w:val="24"/>
          <w:shd w:val="clear" w:color="auto" w:fill="FFFFFF"/>
        </w:rPr>
        <w:t>los</w:t>
      </w:r>
      <w:proofErr w:type="spellEnd"/>
      <w:r>
        <w:rPr>
          <w:rFonts w:ascii="Times New Roman" w:hAnsi="Times New Roman" w:cs="Times New Roman"/>
          <w:color w:val="000000"/>
          <w:sz w:val="24"/>
          <w:szCs w:val="24"/>
          <w:shd w:val="clear" w:color="auto" w:fill="FFFFFF"/>
        </w:rPr>
        <w:t xml:space="preserve"> describes how families were </w:t>
      </w:r>
      <w:r>
        <w:rPr>
          <w:rFonts w:ascii="Times New Roman" w:hAnsi="Times New Roman" w:cs="Times New Roman"/>
          <w:color w:val="000000"/>
          <w:sz w:val="24"/>
          <w:szCs w:val="24"/>
          <w:shd w:val="clear" w:color="auto" w:fill="FFFFFF"/>
        </w:rPr>
        <w:lastRenderedPageBreak/>
        <w:t>punished as collective units by the Communist Party</w:t>
      </w:r>
      <w:r w:rsidR="002A1D7B">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Pr>
          <w:rFonts w:ascii="Times New Roman" w:hAnsi="Times New Roman" w:cs="Times New Roman"/>
          <w:sz w:val="24"/>
          <w:szCs w:val="24"/>
          <w:shd w:val="clear" w:color="auto" w:fill="FFFFFF"/>
        </w:rPr>
        <w:t xml:space="preserve">According to </w:t>
      </w:r>
      <w:proofErr w:type="spellStart"/>
      <w:r>
        <w:rPr>
          <w:rFonts w:ascii="Times New Roman" w:hAnsi="Times New Roman" w:cs="Times New Roman"/>
          <w:sz w:val="24"/>
          <w:szCs w:val="24"/>
          <w:shd w:val="clear" w:color="auto" w:fill="FFFFFF"/>
        </w:rPr>
        <w:t>Alexopo</w:t>
      </w:r>
      <w:r w:rsidR="009F23B3">
        <w:rPr>
          <w:rFonts w:ascii="Times New Roman" w:hAnsi="Times New Roman" w:cs="Times New Roman"/>
          <w:sz w:val="24"/>
          <w:szCs w:val="24"/>
          <w:shd w:val="clear" w:color="auto" w:fill="FFFFFF"/>
        </w:rPr>
        <w:t>u</w:t>
      </w:r>
      <w:r>
        <w:rPr>
          <w:rFonts w:ascii="Times New Roman" w:hAnsi="Times New Roman" w:cs="Times New Roman"/>
          <w:sz w:val="24"/>
          <w:szCs w:val="24"/>
          <w:shd w:val="clear" w:color="auto" w:fill="FFFFFF"/>
        </w:rPr>
        <w:t>los</w:t>
      </w:r>
      <w:proofErr w:type="spellEnd"/>
      <w:r>
        <w:rPr>
          <w:rFonts w:ascii="Times New Roman" w:hAnsi="Times New Roman" w:cs="Times New Roman"/>
          <w:sz w:val="24"/>
          <w:szCs w:val="24"/>
          <w:shd w:val="clear" w:color="auto" w:fill="FFFFFF"/>
        </w:rPr>
        <w:t>, family units were seen as having “joint responsibility” – meaning that the rest of the family should be able to stop confrontational members before things get out of hand.</w:t>
      </w:r>
      <w:r>
        <w:rPr>
          <w:rStyle w:val="FootnoteReference"/>
          <w:rFonts w:ascii="Times New Roman" w:hAnsi="Times New Roman" w:cs="Times New Roman"/>
          <w:sz w:val="24"/>
          <w:szCs w:val="24"/>
          <w:shd w:val="clear" w:color="auto" w:fill="FFFFFF"/>
        </w:rPr>
        <w:footnoteReference w:id="25"/>
      </w:r>
      <w:r>
        <w:rPr>
          <w:rFonts w:ascii="Times New Roman" w:hAnsi="Times New Roman" w:cs="Times New Roman"/>
          <w:sz w:val="24"/>
          <w:szCs w:val="24"/>
          <w:shd w:val="clear" w:color="auto" w:fill="FFFFFF"/>
        </w:rPr>
        <w:t xml:space="preserve"> During the war, </w:t>
      </w:r>
      <w:proofErr w:type="spellStart"/>
      <w:r>
        <w:rPr>
          <w:rFonts w:ascii="Times New Roman" w:hAnsi="Times New Roman" w:cs="Times New Roman"/>
          <w:sz w:val="24"/>
          <w:szCs w:val="24"/>
          <w:shd w:val="clear" w:color="auto" w:fill="FFFFFF"/>
        </w:rPr>
        <w:t>Alexopo</w:t>
      </w:r>
      <w:r w:rsidR="009F23B3">
        <w:rPr>
          <w:rFonts w:ascii="Times New Roman" w:hAnsi="Times New Roman" w:cs="Times New Roman"/>
          <w:sz w:val="24"/>
          <w:szCs w:val="24"/>
          <w:shd w:val="clear" w:color="auto" w:fill="FFFFFF"/>
        </w:rPr>
        <w:t>u</w:t>
      </w:r>
      <w:r>
        <w:rPr>
          <w:rFonts w:ascii="Times New Roman" w:hAnsi="Times New Roman" w:cs="Times New Roman"/>
          <w:sz w:val="24"/>
          <w:szCs w:val="24"/>
          <w:shd w:val="clear" w:color="auto" w:fill="FFFFFF"/>
        </w:rPr>
        <w:t>los</w:t>
      </w:r>
      <w:proofErr w:type="spellEnd"/>
      <w:r>
        <w:rPr>
          <w:rFonts w:ascii="Times New Roman" w:hAnsi="Times New Roman" w:cs="Times New Roman"/>
          <w:sz w:val="24"/>
          <w:szCs w:val="24"/>
          <w:shd w:val="clear" w:color="auto" w:fill="FFFFFF"/>
        </w:rPr>
        <w:t xml:space="preserve"> observe</w:t>
      </w:r>
      <w:r w:rsidR="002A1D7B">
        <w:rPr>
          <w:rFonts w:ascii="Times New Roman" w:hAnsi="Times New Roman" w:cs="Times New Roman"/>
          <w:sz w:val="24"/>
          <w:szCs w:val="24"/>
          <w:shd w:val="clear" w:color="auto" w:fill="FFFFFF"/>
        </w:rPr>
        <w:t>s</w:t>
      </w:r>
      <w:r>
        <w:rPr>
          <w:rFonts w:ascii="Times New Roman" w:hAnsi="Times New Roman" w:cs="Times New Roman"/>
          <w:sz w:val="24"/>
          <w:szCs w:val="24"/>
          <w:shd w:val="clear" w:color="auto" w:fill="FFFFFF"/>
        </w:rPr>
        <w:t xml:space="preserve"> the focus shifted to “enemy nations,” where large swathes of ethnic minorities </w:t>
      </w:r>
      <w:r w:rsidR="002A1D7B">
        <w:rPr>
          <w:rFonts w:ascii="Times New Roman" w:hAnsi="Times New Roman" w:cs="Times New Roman"/>
          <w:sz w:val="24"/>
          <w:szCs w:val="24"/>
          <w:shd w:val="clear" w:color="auto" w:fill="FFFFFF"/>
        </w:rPr>
        <w:t>were</w:t>
      </w:r>
      <w:r>
        <w:rPr>
          <w:rFonts w:ascii="Times New Roman" w:hAnsi="Times New Roman" w:cs="Times New Roman"/>
          <w:sz w:val="24"/>
          <w:szCs w:val="24"/>
          <w:shd w:val="clear" w:color="auto" w:fill="FFFFFF"/>
        </w:rPr>
        <w:t xml:space="preserve"> punished just as a family would be.</w:t>
      </w:r>
      <w:r>
        <w:rPr>
          <w:rStyle w:val="FootnoteReference"/>
          <w:rFonts w:ascii="Times New Roman" w:hAnsi="Times New Roman" w:cs="Times New Roman"/>
          <w:sz w:val="24"/>
          <w:szCs w:val="24"/>
          <w:shd w:val="clear" w:color="auto" w:fill="FFFFFF"/>
        </w:rPr>
        <w:footnoteReference w:id="26"/>
      </w:r>
      <w:r>
        <w:rPr>
          <w:rFonts w:ascii="Times New Roman" w:hAnsi="Times New Roman" w:cs="Times New Roman"/>
          <w:sz w:val="24"/>
          <w:szCs w:val="24"/>
          <w:shd w:val="clear" w:color="auto" w:fill="FFFFFF"/>
        </w:rPr>
        <w:t xml:space="preserve"> </w:t>
      </w:r>
      <w:r w:rsidR="002A1D7B">
        <w:rPr>
          <w:rFonts w:ascii="Times New Roman" w:hAnsi="Times New Roman" w:cs="Times New Roman"/>
          <w:sz w:val="24"/>
          <w:szCs w:val="24"/>
          <w:shd w:val="clear" w:color="auto" w:fill="FFFFFF"/>
        </w:rPr>
        <w:t xml:space="preserve">The </w:t>
      </w:r>
      <w:r w:rsidR="00D373E7">
        <w:rPr>
          <w:rFonts w:ascii="Times New Roman" w:hAnsi="Times New Roman" w:cs="Times New Roman"/>
          <w:sz w:val="24"/>
          <w:szCs w:val="24"/>
          <w:shd w:val="clear" w:color="auto" w:fill="FFFFFF"/>
        </w:rPr>
        <w:t>term ‘</w:t>
      </w:r>
      <w:r w:rsidR="002A1D7B">
        <w:rPr>
          <w:rFonts w:ascii="Times New Roman" w:hAnsi="Times New Roman" w:cs="Times New Roman"/>
          <w:sz w:val="24"/>
          <w:szCs w:val="24"/>
          <w:shd w:val="clear" w:color="auto" w:fill="FFFFFF"/>
        </w:rPr>
        <w:t>f</w:t>
      </w:r>
      <w:r>
        <w:rPr>
          <w:rFonts w:ascii="Times New Roman" w:hAnsi="Times New Roman" w:cs="Times New Roman"/>
          <w:sz w:val="24"/>
          <w:szCs w:val="24"/>
          <w:shd w:val="clear" w:color="auto" w:fill="FFFFFF"/>
        </w:rPr>
        <w:t>amily</w:t>
      </w:r>
      <w:r w:rsidR="00D373E7">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became more broadly </w:t>
      </w:r>
      <w:r w:rsidR="00D373E7">
        <w:rPr>
          <w:rFonts w:ascii="Times New Roman" w:hAnsi="Times New Roman" w:cs="Times New Roman"/>
          <w:sz w:val="24"/>
          <w:szCs w:val="24"/>
          <w:shd w:val="clear" w:color="auto" w:fill="FFFFFF"/>
        </w:rPr>
        <w:t>defined</w:t>
      </w:r>
      <w:r>
        <w:rPr>
          <w:rFonts w:ascii="Times New Roman" w:hAnsi="Times New Roman" w:cs="Times New Roman"/>
          <w:sz w:val="24"/>
          <w:szCs w:val="24"/>
          <w:shd w:val="clear" w:color="auto" w:fill="FFFFFF"/>
        </w:rPr>
        <w:t xml:space="preserve"> during the war, according to both </w:t>
      </w:r>
      <w:proofErr w:type="spellStart"/>
      <w:r>
        <w:rPr>
          <w:rFonts w:ascii="Times New Roman" w:hAnsi="Times New Roman" w:cs="Times New Roman"/>
          <w:sz w:val="24"/>
          <w:szCs w:val="24"/>
          <w:shd w:val="clear" w:color="auto" w:fill="FFFFFF"/>
        </w:rPr>
        <w:t>Alexopo</w:t>
      </w:r>
      <w:r w:rsidR="009F23B3">
        <w:rPr>
          <w:rFonts w:ascii="Times New Roman" w:hAnsi="Times New Roman" w:cs="Times New Roman"/>
          <w:sz w:val="24"/>
          <w:szCs w:val="24"/>
          <w:shd w:val="clear" w:color="auto" w:fill="FFFFFF"/>
        </w:rPr>
        <w:t>u</w:t>
      </w:r>
      <w:r>
        <w:rPr>
          <w:rFonts w:ascii="Times New Roman" w:hAnsi="Times New Roman" w:cs="Times New Roman"/>
          <w:sz w:val="24"/>
          <w:szCs w:val="24"/>
          <w:shd w:val="clear" w:color="auto" w:fill="FFFFFF"/>
        </w:rPr>
        <w:t>los</w:t>
      </w:r>
      <w:proofErr w:type="spellEnd"/>
      <w:r>
        <w:rPr>
          <w:rFonts w:ascii="Times New Roman" w:hAnsi="Times New Roman" w:cs="Times New Roman"/>
          <w:sz w:val="24"/>
          <w:szCs w:val="24"/>
          <w:shd w:val="clear" w:color="auto" w:fill="FFFFFF"/>
        </w:rPr>
        <w:t xml:space="preserve"> and </w:t>
      </w:r>
      <w:proofErr w:type="spellStart"/>
      <w:r>
        <w:rPr>
          <w:rFonts w:ascii="Times New Roman" w:hAnsi="Times New Roman" w:cs="Times New Roman"/>
          <w:sz w:val="24"/>
          <w:szCs w:val="24"/>
          <w:shd w:val="clear" w:color="auto" w:fill="FFFFFF"/>
        </w:rPr>
        <w:t>Hachten</w:t>
      </w:r>
      <w:proofErr w:type="spellEnd"/>
      <w:r>
        <w:rPr>
          <w:rFonts w:ascii="Times New Roman" w:hAnsi="Times New Roman" w:cs="Times New Roman"/>
          <w:sz w:val="24"/>
          <w:szCs w:val="24"/>
          <w:shd w:val="clear" w:color="auto" w:fill="FFFFFF"/>
        </w:rPr>
        <w:t>. As resources became tight, kin and non-kin alike banded together to make the most out of what little they had.</w:t>
      </w:r>
      <w:r>
        <w:rPr>
          <w:rStyle w:val="FootnoteReference"/>
          <w:rFonts w:ascii="Times New Roman" w:hAnsi="Times New Roman" w:cs="Times New Roman"/>
          <w:sz w:val="24"/>
          <w:szCs w:val="24"/>
          <w:shd w:val="clear" w:color="auto" w:fill="FFFFFF"/>
        </w:rPr>
        <w:footnoteReference w:id="27"/>
      </w:r>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Hachten</w:t>
      </w:r>
      <w:proofErr w:type="spellEnd"/>
      <w:r>
        <w:rPr>
          <w:rFonts w:ascii="Times New Roman" w:hAnsi="Times New Roman" w:cs="Times New Roman"/>
          <w:sz w:val="24"/>
          <w:szCs w:val="24"/>
          <w:shd w:val="clear" w:color="auto" w:fill="FFFFFF"/>
        </w:rPr>
        <w:t xml:space="preserve"> notes </w:t>
      </w:r>
      <w:r w:rsidR="00D373E7">
        <w:rPr>
          <w:rFonts w:ascii="Times New Roman" w:hAnsi="Times New Roman" w:cs="Times New Roman"/>
          <w:sz w:val="24"/>
          <w:szCs w:val="24"/>
          <w:shd w:val="clear" w:color="auto" w:fill="FFFFFF"/>
        </w:rPr>
        <w:t>the</w:t>
      </w:r>
      <w:r>
        <w:rPr>
          <w:rFonts w:ascii="Times New Roman" w:hAnsi="Times New Roman" w:cs="Times New Roman"/>
          <w:sz w:val="24"/>
          <w:szCs w:val="24"/>
          <w:shd w:val="clear" w:color="auto" w:fill="FFFFFF"/>
        </w:rPr>
        <w:t xml:space="preserve"> merge of </w:t>
      </w:r>
      <w:r w:rsidR="00D373E7">
        <w:rPr>
          <w:rFonts w:ascii="Times New Roman" w:hAnsi="Times New Roman" w:cs="Times New Roman"/>
          <w:sz w:val="24"/>
          <w:szCs w:val="24"/>
          <w:shd w:val="clear" w:color="auto" w:fill="FFFFFF"/>
        </w:rPr>
        <w:t xml:space="preserve">traditional </w:t>
      </w:r>
      <w:r>
        <w:rPr>
          <w:rFonts w:ascii="Times New Roman" w:hAnsi="Times New Roman" w:cs="Times New Roman"/>
          <w:sz w:val="24"/>
          <w:szCs w:val="24"/>
          <w:shd w:val="clear" w:color="auto" w:fill="FFFFFF"/>
        </w:rPr>
        <w:t xml:space="preserve">family </w:t>
      </w:r>
      <w:r w:rsidR="00D373E7">
        <w:rPr>
          <w:rFonts w:ascii="Times New Roman" w:hAnsi="Times New Roman" w:cs="Times New Roman"/>
          <w:sz w:val="24"/>
          <w:szCs w:val="24"/>
          <w:shd w:val="clear" w:color="auto" w:fill="FFFFFF"/>
        </w:rPr>
        <w:t>with</w:t>
      </w:r>
      <w:r>
        <w:rPr>
          <w:rFonts w:ascii="Times New Roman" w:hAnsi="Times New Roman" w:cs="Times New Roman"/>
          <w:sz w:val="24"/>
          <w:szCs w:val="24"/>
          <w:shd w:val="clear" w:color="auto" w:fill="FFFFFF"/>
        </w:rPr>
        <w:t xml:space="preserve"> strangers fueled a sense of comradery during the war.</w:t>
      </w:r>
      <w:r>
        <w:rPr>
          <w:rStyle w:val="FootnoteReference"/>
          <w:rFonts w:ascii="Times New Roman" w:hAnsi="Times New Roman" w:cs="Times New Roman"/>
          <w:sz w:val="24"/>
          <w:szCs w:val="24"/>
          <w:shd w:val="clear" w:color="auto" w:fill="FFFFFF"/>
        </w:rPr>
        <w:footnoteReference w:id="28"/>
      </w:r>
    </w:p>
    <w:p w14:paraId="166D75D3" w14:textId="7327DE8C" w:rsidR="00C363E7" w:rsidRDefault="00C363E7" w:rsidP="007F0C49">
      <w:pPr>
        <w:spacing w:line="480" w:lineRule="auto"/>
        <w:rPr>
          <w:rFonts w:ascii="Times New Roman" w:hAnsi="Times New Roman" w:cs="Times New Roman"/>
          <w:sz w:val="24"/>
          <w:szCs w:val="24"/>
        </w:rPr>
      </w:pPr>
      <w:r>
        <w:rPr>
          <w:rFonts w:ascii="Times New Roman" w:hAnsi="Times New Roman" w:cs="Times New Roman"/>
          <w:color w:val="000000"/>
          <w:sz w:val="24"/>
          <w:szCs w:val="24"/>
          <w:shd w:val="clear" w:color="auto" w:fill="FFFFFF"/>
        </w:rPr>
        <w:tab/>
        <w:t xml:space="preserve">Though some good research has been done on family units and how they fared during the war, there is still room for improvement. While the sources and scholars mentioned here have made great strides in the field of the home front, they are among the few examining families during the war. Little research has been done </w:t>
      </w:r>
      <w:r w:rsidR="00D373E7">
        <w:rPr>
          <w:rFonts w:ascii="Times New Roman" w:hAnsi="Times New Roman" w:cs="Times New Roman"/>
          <w:color w:val="000000"/>
          <w:sz w:val="24"/>
          <w:szCs w:val="24"/>
          <w:shd w:val="clear" w:color="auto" w:fill="FFFFFF"/>
        </w:rPr>
        <w:t>focusing</w:t>
      </w:r>
      <w:r>
        <w:rPr>
          <w:rFonts w:ascii="Times New Roman" w:hAnsi="Times New Roman" w:cs="Times New Roman"/>
          <w:color w:val="000000"/>
          <w:sz w:val="24"/>
          <w:szCs w:val="24"/>
          <w:shd w:val="clear" w:color="auto" w:fill="FFFFFF"/>
        </w:rPr>
        <w:t xml:space="preserve"> on the minutiae of family life, especially with a nation as vast as the USSR was. Perhaps in the future there will be more research looking into locations across the USSR and possibly looking into ethnic minority family units during the war. While the current research is a good start, there is much more that needs to be done to fill in the gaps on what was happening from day-to-day on the home front</w:t>
      </w:r>
      <w:r w:rsidR="00D373E7">
        <w:rPr>
          <w:rFonts w:ascii="Times New Roman" w:hAnsi="Times New Roman" w:cs="Times New Roman"/>
          <w:color w:val="000000"/>
          <w:sz w:val="24"/>
          <w:szCs w:val="24"/>
          <w:shd w:val="clear" w:color="auto" w:fill="FFFFFF"/>
        </w:rPr>
        <w:t xml:space="preserve"> and, once again, actually referring to the home front as such</w:t>
      </w:r>
      <w:r>
        <w:rPr>
          <w:rFonts w:ascii="Times New Roman" w:hAnsi="Times New Roman" w:cs="Times New Roman"/>
          <w:color w:val="000000"/>
          <w:sz w:val="24"/>
          <w:szCs w:val="24"/>
          <w:shd w:val="clear" w:color="auto" w:fill="FFFFFF"/>
        </w:rPr>
        <w:t>.</w:t>
      </w:r>
    </w:p>
    <w:p w14:paraId="487D9E8F" w14:textId="032F1400" w:rsidR="00C363E7" w:rsidRDefault="00C363E7" w:rsidP="0059258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topic of children and the Soviet home front has been covered by researchers such as Corinna </w:t>
      </w:r>
      <w:proofErr w:type="spellStart"/>
      <w:r>
        <w:rPr>
          <w:rFonts w:ascii="Times New Roman" w:hAnsi="Times New Roman" w:cs="Times New Roman"/>
          <w:sz w:val="24"/>
          <w:szCs w:val="24"/>
        </w:rPr>
        <w:t>Kuhr</w:t>
      </w:r>
      <w:proofErr w:type="spellEnd"/>
      <w:r>
        <w:rPr>
          <w:rFonts w:ascii="Times New Roman" w:hAnsi="Times New Roman" w:cs="Times New Roman"/>
          <w:sz w:val="24"/>
          <w:szCs w:val="24"/>
        </w:rPr>
        <w:t xml:space="preserve">, Margaret </w:t>
      </w:r>
      <w:proofErr w:type="spellStart"/>
      <w:r>
        <w:rPr>
          <w:rFonts w:ascii="Times New Roman" w:hAnsi="Times New Roman" w:cs="Times New Roman"/>
          <w:sz w:val="24"/>
          <w:szCs w:val="24"/>
        </w:rPr>
        <w:t>Stolee</w:t>
      </w:r>
      <w:proofErr w:type="spellEnd"/>
      <w:r>
        <w:rPr>
          <w:rFonts w:ascii="Times New Roman" w:hAnsi="Times New Roman" w:cs="Times New Roman"/>
          <w:sz w:val="24"/>
          <w:szCs w:val="24"/>
        </w:rPr>
        <w:t xml:space="preserve">, Rebecca Manley, and Alexis </w:t>
      </w:r>
      <w:proofErr w:type="spellStart"/>
      <w:r>
        <w:rPr>
          <w:rFonts w:ascii="Times New Roman" w:hAnsi="Times New Roman" w:cs="Times New Roman"/>
          <w:sz w:val="24"/>
          <w:szCs w:val="24"/>
        </w:rPr>
        <w:t>Peri</w:t>
      </w:r>
      <w:proofErr w:type="spellEnd"/>
      <w:r>
        <w:rPr>
          <w:rFonts w:ascii="Times New Roman" w:hAnsi="Times New Roman" w:cs="Times New Roman"/>
          <w:sz w:val="24"/>
          <w:szCs w:val="24"/>
        </w:rPr>
        <w:t xml:space="preserve">. </w:t>
      </w:r>
      <w:r w:rsidR="00E643D6">
        <w:rPr>
          <w:rFonts w:ascii="Times New Roman" w:hAnsi="Times New Roman" w:cs="Times New Roman"/>
          <w:sz w:val="24"/>
          <w:szCs w:val="24"/>
        </w:rPr>
        <w:t>According to these historians, t</w:t>
      </w:r>
      <w:r>
        <w:rPr>
          <w:rFonts w:ascii="Times New Roman" w:hAnsi="Times New Roman" w:cs="Times New Roman"/>
          <w:sz w:val="24"/>
          <w:szCs w:val="24"/>
        </w:rPr>
        <w:t xml:space="preserve">he home front was just as unforgiving to </w:t>
      </w:r>
      <w:r w:rsidR="00FA539E">
        <w:rPr>
          <w:rFonts w:ascii="Times New Roman" w:hAnsi="Times New Roman" w:cs="Times New Roman"/>
          <w:sz w:val="24"/>
          <w:szCs w:val="24"/>
        </w:rPr>
        <w:t>children</w:t>
      </w:r>
      <w:r>
        <w:rPr>
          <w:rFonts w:ascii="Times New Roman" w:hAnsi="Times New Roman" w:cs="Times New Roman"/>
          <w:sz w:val="24"/>
          <w:szCs w:val="24"/>
        </w:rPr>
        <w:t xml:space="preserve"> as it was to the </w:t>
      </w:r>
      <w:r w:rsidR="00FA539E">
        <w:rPr>
          <w:rFonts w:ascii="Times New Roman" w:hAnsi="Times New Roman" w:cs="Times New Roman"/>
          <w:sz w:val="24"/>
          <w:szCs w:val="24"/>
        </w:rPr>
        <w:t>adults</w:t>
      </w:r>
      <w:r>
        <w:rPr>
          <w:rFonts w:ascii="Times New Roman" w:hAnsi="Times New Roman" w:cs="Times New Roman"/>
          <w:sz w:val="24"/>
          <w:szCs w:val="24"/>
        </w:rPr>
        <w:t xml:space="preserve"> who inhabited it. </w:t>
      </w:r>
      <w:proofErr w:type="spellStart"/>
      <w:r w:rsidR="005D46F3">
        <w:rPr>
          <w:rFonts w:ascii="Times New Roman" w:hAnsi="Times New Roman" w:cs="Times New Roman"/>
          <w:sz w:val="24"/>
          <w:szCs w:val="24"/>
        </w:rPr>
        <w:t>Kuhr</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illuminates the hardships faced by dependents of men and women considered to be ‘enemies of the people’. While her analysis on the psychological and physical aspects of the limbo these children found themselves thrust into is fascinating, </w:t>
      </w:r>
      <w:proofErr w:type="spellStart"/>
      <w:r>
        <w:rPr>
          <w:rFonts w:ascii="Times New Roman" w:hAnsi="Times New Roman" w:cs="Times New Roman"/>
          <w:sz w:val="24"/>
          <w:szCs w:val="24"/>
        </w:rPr>
        <w:t>Kurh’s</w:t>
      </w:r>
      <w:proofErr w:type="spellEnd"/>
      <w:r>
        <w:rPr>
          <w:rFonts w:ascii="Times New Roman" w:hAnsi="Times New Roman" w:cs="Times New Roman"/>
          <w:sz w:val="24"/>
          <w:szCs w:val="24"/>
        </w:rPr>
        <w:t xml:space="preserve"> research fails to mention what became of these children once the war began.</w:t>
      </w:r>
      <w:r>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Instead, she appears to focus on the children’s lives as being orphans before the advent of the Second World War, a topic that </w:t>
      </w:r>
      <w:proofErr w:type="spellStart"/>
      <w:r>
        <w:rPr>
          <w:rFonts w:ascii="Times New Roman" w:hAnsi="Times New Roman" w:cs="Times New Roman"/>
          <w:sz w:val="24"/>
          <w:szCs w:val="24"/>
        </w:rPr>
        <w:t>Stolee</w:t>
      </w:r>
      <w:proofErr w:type="spellEnd"/>
      <w:r>
        <w:rPr>
          <w:rFonts w:ascii="Times New Roman" w:hAnsi="Times New Roman" w:cs="Times New Roman"/>
          <w:sz w:val="24"/>
          <w:szCs w:val="24"/>
        </w:rPr>
        <w:t xml:space="preserve"> covers in great detail.</w:t>
      </w:r>
      <w:r>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w:t>
      </w:r>
      <w:proofErr w:type="spellStart"/>
      <w:r w:rsidR="00D373E7">
        <w:rPr>
          <w:rFonts w:ascii="Times New Roman" w:hAnsi="Times New Roman" w:cs="Times New Roman"/>
          <w:sz w:val="24"/>
          <w:szCs w:val="24"/>
        </w:rPr>
        <w:t>Stolee</w:t>
      </w:r>
      <w:proofErr w:type="spellEnd"/>
      <w:r w:rsidR="00D373E7">
        <w:rPr>
          <w:rFonts w:ascii="Times New Roman" w:hAnsi="Times New Roman" w:cs="Times New Roman"/>
          <w:sz w:val="24"/>
          <w:szCs w:val="24"/>
        </w:rPr>
        <w:t xml:space="preserve"> examines</w:t>
      </w:r>
      <w:r>
        <w:rPr>
          <w:rFonts w:ascii="Times New Roman" w:hAnsi="Times New Roman" w:cs="Times New Roman"/>
          <w:sz w:val="24"/>
          <w:szCs w:val="24"/>
        </w:rPr>
        <w:t xml:space="preserve"> how children went homeless in waves, even detailing one such wave that occurred at the beginning of World War II.</w:t>
      </w:r>
      <w:r>
        <w:rPr>
          <w:rStyle w:val="FootnoteReference"/>
          <w:rFonts w:ascii="Times New Roman" w:hAnsi="Times New Roman" w:cs="Times New Roman"/>
          <w:sz w:val="24"/>
          <w:szCs w:val="24"/>
        </w:rPr>
        <w:footnoteReference w:id="31"/>
      </w:r>
      <w:r>
        <w:rPr>
          <w:rFonts w:ascii="Times New Roman" w:hAnsi="Times New Roman" w:cs="Times New Roman"/>
          <w:sz w:val="24"/>
          <w:szCs w:val="24"/>
        </w:rPr>
        <w:t xml:space="preserve"> Interestingly, </w:t>
      </w:r>
      <w:proofErr w:type="spellStart"/>
      <w:r>
        <w:rPr>
          <w:rFonts w:ascii="Times New Roman" w:hAnsi="Times New Roman" w:cs="Times New Roman"/>
          <w:sz w:val="24"/>
          <w:szCs w:val="24"/>
        </w:rPr>
        <w:t>Stolee</w:t>
      </w:r>
      <w:proofErr w:type="spellEnd"/>
      <w:r>
        <w:rPr>
          <w:rFonts w:ascii="Times New Roman" w:hAnsi="Times New Roman" w:cs="Times New Roman"/>
          <w:sz w:val="24"/>
          <w:szCs w:val="24"/>
        </w:rPr>
        <w:t xml:space="preserve"> points out that Soviet officials still referred to this wave of homeless children with derogatory names despite their circumstances for homelessness being different from those of pre-war waves.</w:t>
      </w:r>
      <w:r>
        <w:rPr>
          <w:rStyle w:val="FootnoteReference"/>
          <w:rFonts w:ascii="Times New Roman" w:hAnsi="Times New Roman" w:cs="Times New Roman"/>
          <w:sz w:val="24"/>
          <w:szCs w:val="24"/>
        </w:rPr>
        <w:footnoteReference w:id="32"/>
      </w:r>
      <w:r>
        <w:rPr>
          <w:rFonts w:ascii="Times New Roman" w:hAnsi="Times New Roman" w:cs="Times New Roman"/>
          <w:sz w:val="24"/>
          <w:szCs w:val="24"/>
        </w:rPr>
        <w:t xml:space="preserve"> </w:t>
      </w:r>
    </w:p>
    <w:p w14:paraId="1638BB81" w14:textId="3C7BA9A5" w:rsidR="00C363E7" w:rsidRPr="00AB033E" w:rsidRDefault="00C363E7" w:rsidP="0059258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Being without a family unit during the war was a lonely affair. </w:t>
      </w:r>
      <w:r w:rsidR="00D373E7">
        <w:rPr>
          <w:rFonts w:ascii="Times New Roman" w:hAnsi="Times New Roman" w:cs="Times New Roman"/>
          <w:sz w:val="24"/>
          <w:szCs w:val="24"/>
        </w:rPr>
        <w:t xml:space="preserve">If a child had lost their family, </w:t>
      </w:r>
      <w:proofErr w:type="spellStart"/>
      <w:r w:rsidR="00D373E7">
        <w:rPr>
          <w:rFonts w:ascii="Times New Roman" w:hAnsi="Times New Roman" w:cs="Times New Roman"/>
          <w:sz w:val="24"/>
          <w:szCs w:val="24"/>
        </w:rPr>
        <w:t>Peri</w:t>
      </w:r>
      <w:proofErr w:type="spellEnd"/>
      <w:r w:rsidR="00D373E7">
        <w:rPr>
          <w:rFonts w:ascii="Times New Roman" w:hAnsi="Times New Roman" w:cs="Times New Roman"/>
          <w:sz w:val="24"/>
          <w:szCs w:val="24"/>
        </w:rPr>
        <w:t xml:space="preserve"> asserts they took on fantasies in order to escape this harsh reality. </w:t>
      </w:r>
      <w:r>
        <w:rPr>
          <w:rFonts w:ascii="Times New Roman" w:hAnsi="Times New Roman" w:cs="Times New Roman"/>
          <w:sz w:val="24"/>
          <w:szCs w:val="24"/>
        </w:rPr>
        <w:t xml:space="preserve">In </w:t>
      </w:r>
      <w:r>
        <w:rPr>
          <w:rFonts w:ascii="Times New Roman" w:hAnsi="Times New Roman" w:cs="Times New Roman"/>
          <w:i/>
          <w:iCs/>
          <w:sz w:val="24"/>
          <w:szCs w:val="24"/>
        </w:rPr>
        <w:t xml:space="preserve">The War </w:t>
      </w:r>
      <w:proofErr w:type="gramStart"/>
      <w:r>
        <w:rPr>
          <w:rFonts w:ascii="Times New Roman" w:hAnsi="Times New Roman" w:cs="Times New Roman"/>
          <w:i/>
          <w:iCs/>
          <w:sz w:val="24"/>
          <w:szCs w:val="24"/>
        </w:rPr>
        <w:t>Within</w:t>
      </w:r>
      <w:proofErr w:type="gramEnd"/>
      <w:r>
        <w:rPr>
          <w:rFonts w:ascii="Times New Roman" w:hAnsi="Times New Roman" w:cs="Times New Roman"/>
          <w:i/>
          <w:iCs/>
          <w:sz w:val="24"/>
          <w:szCs w:val="24"/>
        </w:rPr>
        <w:t>: Diaries from the Siege of Leningrad</w:t>
      </w:r>
      <w:r>
        <w:rPr>
          <w:rFonts w:ascii="Times New Roman" w:hAnsi="Times New Roman" w:cs="Times New Roman"/>
          <w:sz w:val="24"/>
          <w:szCs w:val="24"/>
        </w:rPr>
        <w:t xml:space="preserve">, </w:t>
      </w:r>
      <w:proofErr w:type="spellStart"/>
      <w:r>
        <w:rPr>
          <w:rFonts w:ascii="Times New Roman" w:hAnsi="Times New Roman" w:cs="Times New Roman"/>
          <w:sz w:val="24"/>
          <w:szCs w:val="24"/>
        </w:rPr>
        <w:t>Peri</w:t>
      </w:r>
      <w:proofErr w:type="spellEnd"/>
      <w:r>
        <w:rPr>
          <w:rFonts w:ascii="Times New Roman" w:hAnsi="Times New Roman" w:cs="Times New Roman"/>
          <w:sz w:val="24"/>
          <w:szCs w:val="24"/>
        </w:rPr>
        <w:t xml:space="preserve"> </w:t>
      </w:r>
      <w:r w:rsidR="00D373E7">
        <w:rPr>
          <w:rFonts w:ascii="Times New Roman" w:hAnsi="Times New Roman" w:cs="Times New Roman"/>
          <w:sz w:val="24"/>
          <w:szCs w:val="24"/>
        </w:rPr>
        <w:t>analyzes</w:t>
      </w:r>
      <w:r>
        <w:rPr>
          <w:rFonts w:ascii="Times New Roman" w:hAnsi="Times New Roman" w:cs="Times New Roman"/>
          <w:sz w:val="24"/>
          <w:szCs w:val="24"/>
        </w:rPr>
        <w:t xml:space="preserve"> accounts from various people who beg</w:t>
      </w:r>
      <w:r w:rsidR="00D373E7">
        <w:rPr>
          <w:rFonts w:ascii="Times New Roman" w:hAnsi="Times New Roman" w:cs="Times New Roman"/>
          <w:sz w:val="24"/>
          <w:szCs w:val="24"/>
        </w:rPr>
        <w:t>a</w:t>
      </w:r>
      <w:r>
        <w:rPr>
          <w:rFonts w:ascii="Times New Roman" w:hAnsi="Times New Roman" w:cs="Times New Roman"/>
          <w:sz w:val="24"/>
          <w:szCs w:val="24"/>
        </w:rPr>
        <w:t>n to seek hope through their imaginations. This is especially true for the younger people living through the blockade as loved ones died off and children were left to fend for themselves.</w:t>
      </w:r>
      <w:r>
        <w:rPr>
          <w:rStyle w:val="FootnoteReference"/>
          <w:rFonts w:ascii="Times New Roman" w:hAnsi="Times New Roman" w:cs="Times New Roman"/>
          <w:sz w:val="24"/>
          <w:szCs w:val="24"/>
        </w:rPr>
        <w:footnoteReference w:id="33"/>
      </w:r>
      <w:r>
        <w:rPr>
          <w:rFonts w:ascii="Times New Roman" w:hAnsi="Times New Roman" w:cs="Times New Roman"/>
          <w:sz w:val="24"/>
          <w:szCs w:val="24"/>
        </w:rPr>
        <w:t xml:space="preserve"> With so many children being left abandoned by the war, </w:t>
      </w:r>
      <w:proofErr w:type="spellStart"/>
      <w:r>
        <w:rPr>
          <w:rFonts w:ascii="Times New Roman" w:hAnsi="Times New Roman" w:cs="Times New Roman"/>
          <w:sz w:val="24"/>
          <w:szCs w:val="24"/>
        </w:rPr>
        <w:t>Hachten</w:t>
      </w:r>
      <w:proofErr w:type="spellEnd"/>
      <w:r>
        <w:rPr>
          <w:rFonts w:ascii="Times New Roman" w:hAnsi="Times New Roman" w:cs="Times New Roman"/>
          <w:sz w:val="24"/>
          <w:szCs w:val="24"/>
        </w:rPr>
        <w:t xml:space="preserve"> found that adoptions became more commonplace during the war.</w:t>
      </w:r>
      <w:r>
        <w:rPr>
          <w:rStyle w:val="FootnoteReference"/>
          <w:rFonts w:ascii="Times New Roman" w:hAnsi="Times New Roman" w:cs="Times New Roman"/>
          <w:sz w:val="24"/>
          <w:szCs w:val="24"/>
        </w:rPr>
        <w:footnoteReference w:id="34"/>
      </w:r>
      <w:r>
        <w:rPr>
          <w:rFonts w:ascii="Times New Roman" w:hAnsi="Times New Roman" w:cs="Times New Roman"/>
          <w:sz w:val="24"/>
          <w:szCs w:val="24"/>
        </w:rPr>
        <w:t xml:space="preserve"> According to </w:t>
      </w:r>
      <w:proofErr w:type="spellStart"/>
      <w:r>
        <w:rPr>
          <w:rFonts w:ascii="Times New Roman" w:hAnsi="Times New Roman" w:cs="Times New Roman"/>
          <w:sz w:val="24"/>
          <w:szCs w:val="24"/>
        </w:rPr>
        <w:t>Hachten</w:t>
      </w:r>
      <w:proofErr w:type="spellEnd"/>
      <w:r>
        <w:rPr>
          <w:rFonts w:ascii="Times New Roman" w:hAnsi="Times New Roman" w:cs="Times New Roman"/>
          <w:sz w:val="24"/>
          <w:szCs w:val="24"/>
        </w:rPr>
        <w:t>, these adoptions were not always entirely altruistic, with many families adopting children for either their economic value or to simply feel good about themselves.</w:t>
      </w:r>
      <w:r>
        <w:rPr>
          <w:rStyle w:val="FootnoteReference"/>
          <w:rFonts w:ascii="Times New Roman" w:hAnsi="Times New Roman" w:cs="Times New Roman"/>
          <w:sz w:val="24"/>
          <w:szCs w:val="24"/>
        </w:rPr>
        <w:footnoteReference w:id="35"/>
      </w:r>
    </w:p>
    <w:p w14:paraId="197E06C7" w14:textId="05F570AA" w:rsidR="00C363E7" w:rsidRPr="00286836" w:rsidRDefault="00C363E7" w:rsidP="0059258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The topic of children – specifically orphans – has had fairly good coverage compared to other topics within the home front. While much of the current research still includes gaps that exclude the effects of the war on children, this topic has at least been broached by scholars. However, as with other sub-sections on the home front, there is still much work to do and still many more questions to be answered. How did children in stable families react to the chaos of the war? Did orphaned children band together outside of orphanages as they did within them?</w:t>
      </w:r>
      <w:r>
        <w:rPr>
          <w:rStyle w:val="FootnoteReference"/>
          <w:rFonts w:ascii="Times New Roman" w:hAnsi="Times New Roman" w:cs="Times New Roman"/>
          <w:sz w:val="24"/>
          <w:szCs w:val="24"/>
        </w:rPr>
        <w:footnoteReference w:id="36"/>
      </w:r>
      <w:r>
        <w:rPr>
          <w:rFonts w:ascii="Times New Roman" w:hAnsi="Times New Roman" w:cs="Times New Roman"/>
          <w:sz w:val="24"/>
          <w:szCs w:val="24"/>
        </w:rPr>
        <w:t xml:space="preserve"> </w:t>
      </w:r>
      <w:r w:rsidR="00D373E7">
        <w:rPr>
          <w:rFonts w:ascii="Times New Roman" w:hAnsi="Times New Roman" w:cs="Times New Roman"/>
          <w:sz w:val="24"/>
          <w:szCs w:val="24"/>
        </w:rPr>
        <w:t xml:space="preserve">Is there a correlation between losing family members and journaling? </w:t>
      </w:r>
      <w:r>
        <w:rPr>
          <w:rFonts w:ascii="Times New Roman" w:hAnsi="Times New Roman" w:cs="Times New Roman"/>
          <w:sz w:val="24"/>
          <w:szCs w:val="24"/>
        </w:rPr>
        <w:t>These questions and more have yet to be answered by current research.</w:t>
      </w:r>
    </w:p>
    <w:p w14:paraId="52E930A8" w14:textId="46AF0FF3" w:rsidR="00C363E7" w:rsidRDefault="00C363E7" w:rsidP="00F658F1">
      <w:pPr>
        <w:spacing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rPr>
        <w:t>Just as women in the West were seen as defenders of the home front and family, so too were Soviet women.</w:t>
      </w:r>
      <w:r>
        <w:rPr>
          <w:rStyle w:val="FootnoteReference"/>
          <w:rFonts w:ascii="Times New Roman" w:hAnsi="Times New Roman" w:cs="Times New Roman"/>
          <w:sz w:val="24"/>
          <w:szCs w:val="24"/>
        </w:rPr>
        <w:footnoteReference w:id="37"/>
      </w:r>
      <w:r>
        <w:rPr>
          <w:rFonts w:ascii="Times New Roman" w:hAnsi="Times New Roman" w:cs="Times New Roman"/>
          <w:sz w:val="24"/>
          <w:szCs w:val="24"/>
        </w:rPr>
        <w:t xml:space="preserve"> </w:t>
      </w:r>
      <w:r w:rsidR="005763CD">
        <w:rPr>
          <w:rFonts w:ascii="Times New Roman" w:hAnsi="Times New Roman" w:cs="Times New Roman"/>
          <w:sz w:val="24"/>
          <w:szCs w:val="24"/>
        </w:rPr>
        <w:t>One could assume as conscriptions to the Red Army began, t</w:t>
      </w:r>
      <w:r>
        <w:rPr>
          <w:rFonts w:ascii="Times New Roman" w:hAnsi="Times New Roman" w:cs="Times New Roman"/>
          <w:sz w:val="24"/>
          <w:szCs w:val="24"/>
        </w:rPr>
        <w:t xml:space="preserve">hese women </w:t>
      </w:r>
      <w:r w:rsidR="001700BE">
        <w:rPr>
          <w:rFonts w:ascii="Times New Roman" w:hAnsi="Times New Roman" w:cs="Times New Roman"/>
          <w:sz w:val="24"/>
          <w:szCs w:val="24"/>
        </w:rPr>
        <w:t>had</w:t>
      </w:r>
      <w:r>
        <w:rPr>
          <w:rFonts w:ascii="Times New Roman" w:hAnsi="Times New Roman" w:cs="Times New Roman"/>
          <w:sz w:val="24"/>
          <w:szCs w:val="24"/>
        </w:rPr>
        <w:t xml:space="preserve"> to step up and take the places of the men who had left the industry to fight on the front, though this would be no easy task. Women before the war were heavily discriminated against, a phenomenon that is heavily documented in Wendy Goldman’s book, </w:t>
      </w:r>
      <w:r>
        <w:rPr>
          <w:rFonts w:ascii="Times New Roman" w:hAnsi="Times New Roman" w:cs="Times New Roman"/>
          <w:i/>
          <w:iCs/>
          <w:sz w:val="24"/>
          <w:szCs w:val="24"/>
        </w:rPr>
        <w:t xml:space="preserve">Women at the Gates: Gender and </w:t>
      </w:r>
      <w:r w:rsidR="001700BE">
        <w:rPr>
          <w:rFonts w:ascii="Times New Roman" w:hAnsi="Times New Roman" w:cs="Times New Roman"/>
          <w:i/>
          <w:iCs/>
          <w:sz w:val="24"/>
          <w:szCs w:val="24"/>
        </w:rPr>
        <w:t>I</w:t>
      </w:r>
      <w:r>
        <w:rPr>
          <w:rFonts w:ascii="Times New Roman" w:hAnsi="Times New Roman" w:cs="Times New Roman"/>
          <w:i/>
          <w:iCs/>
          <w:sz w:val="24"/>
          <w:szCs w:val="24"/>
        </w:rPr>
        <w:t>ndustry in Stalin’s Russia.</w:t>
      </w:r>
      <w:r>
        <w:rPr>
          <w:rFonts w:ascii="Times New Roman" w:hAnsi="Times New Roman" w:cs="Times New Roman"/>
          <w:sz w:val="24"/>
          <w:szCs w:val="24"/>
        </w:rPr>
        <w:t xml:space="preserve"> Despite attempts from the party and the </w:t>
      </w:r>
      <w:r w:rsidR="00665BD9">
        <w:rPr>
          <w:rFonts w:ascii="Times New Roman" w:hAnsi="Times New Roman" w:cs="Times New Roman"/>
          <w:sz w:val="24"/>
          <w:szCs w:val="24"/>
        </w:rPr>
        <w:t>“</w:t>
      </w:r>
      <w:r>
        <w:rPr>
          <w:rFonts w:ascii="Times New Roman" w:hAnsi="Times New Roman" w:cs="Times New Roman"/>
          <w:sz w:val="24"/>
          <w:szCs w:val="24"/>
          <w:shd w:val="clear" w:color="auto" w:fill="FFFFFF"/>
        </w:rPr>
        <w:t>All-Union Meeting for Work Among Women</w:t>
      </w:r>
      <w:r w:rsidR="00665BD9">
        <w:rPr>
          <w:rFonts w:ascii="Times New Roman" w:hAnsi="Times New Roman" w:cs="Times New Roman"/>
          <w:sz w:val="24"/>
          <w:szCs w:val="24"/>
          <w:shd w:val="clear" w:color="auto" w:fill="FFFFFF"/>
        </w:rPr>
        <w:t>”</w:t>
      </w:r>
      <w:bookmarkStart w:id="0" w:name="_GoBack"/>
      <w:bookmarkEnd w:id="0"/>
      <w:r>
        <w:rPr>
          <w:rFonts w:ascii="Times New Roman" w:hAnsi="Times New Roman" w:cs="Times New Roman"/>
          <w:sz w:val="24"/>
          <w:szCs w:val="24"/>
          <w:shd w:val="clear" w:color="auto" w:fill="FFFFFF"/>
        </w:rPr>
        <w:t xml:space="preserve"> to quell the </w:t>
      </w:r>
      <w:r w:rsidR="001700BE">
        <w:rPr>
          <w:rFonts w:ascii="Times New Roman" w:hAnsi="Times New Roman" w:cs="Times New Roman"/>
          <w:sz w:val="24"/>
          <w:szCs w:val="24"/>
          <w:shd w:val="clear" w:color="auto" w:fill="FFFFFF"/>
        </w:rPr>
        <w:t>discrimination</w:t>
      </w:r>
      <w:r>
        <w:rPr>
          <w:rFonts w:ascii="Times New Roman" w:hAnsi="Times New Roman" w:cs="Times New Roman"/>
          <w:sz w:val="24"/>
          <w:szCs w:val="24"/>
          <w:shd w:val="clear" w:color="auto" w:fill="FFFFFF"/>
        </w:rPr>
        <w:t xml:space="preserve"> and promote solidarity, women still only accounted for 6-10% of the total </w:t>
      </w:r>
      <w:r w:rsidR="001700BE">
        <w:rPr>
          <w:rFonts w:ascii="Times New Roman" w:hAnsi="Times New Roman" w:cs="Times New Roman"/>
          <w:sz w:val="24"/>
          <w:szCs w:val="24"/>
          <w:shd w:val="clear" w:color="auto" w:fill="FFFFFF"/>
        </w:rPr>
        <w:t xml:space="preserve">industrial </w:t>
      </w:r>
      <w:r>
        <w:rPr>
          <w:rFonts w:ascii="Times New Roman" w:hAnsi="Times New Roman" w:cs="Times New Roman"/>
          <w:sz w:val="24"/>
          <w:szCs w:val="24"/>
          <w:shd w:val="clear" w:color="auto" w:fill="FFFFFF"/>
        </w:rPr>
        <w:t>workforce in 1935.</w:t>
      </w:r>
      <w:r>
        <w:rPr>
          <w:rStyle w:val="FootnoteReference"/>
          <w:rFonts w:ascii="Times New Roman" w:hAnsi="Times New Roman" w:cs="Times New Roman"/>
          <w:sz w:val="24"/>
          <w:szCs w:val="24"/>
          <w:shd w:val="clear" w:color="auto" w:fill="FFFFFF"/>
        </w:rPr>
        <w:footnoteReference w:id="38"/>
      </w:r>
      <w:r>
        <w:rPr>
          <w:rFonts w:ascii="Times New Roman" w:hAnsi="Times New Roman" w:cs="Times New Roman"/>
          <w:sz w:val="24"/>
          <w:szCs w:val="24"/>
          <w:shd w:val="clear" w:color="auto" w:fill="FFFFFF"/>
        </w:rPr>
        <w:t xml:space="preserve"> But what exactly happened once the war began? Did managers of industrial factories or quarries suddenly forget their disdain for women and begin hiring them? Did the male workers who remained at home </w:t>
      </w:r>
      <w:r>
        <w:rPr>
          <w:rFonts w:ascii="Times New Roman" w:hAnsi="Times New Roman" w:cs="Times New Roman"/>
          <w:sz w:val="24"/>
          <w:szCs w:val="24"/>
          <w:shd w:val="clear" w:color="auto" w:fill="FFFFFF"/>
        </w:rPr>
        <w:lastRenderedPageBreak/>
        <w:t>begin feeling a sense of unity with their female co-workers once the German invasion began? Or were women still being harassed and handed support positions?</w:t>
      </w:r>
      <w:r>
        <w:rPr>
          <w:rStyle w:val="FootnoteReference"/>
          <w:rFonts w:ascii="Times New Roman" w:hAnsi="Times New Roman" w:cs="Times New Roman"/>
          <w:sz w:val="24"/>
          <w:szCs w:val="24"/>
          <w:shd w:val="clear" w:color="auto" w:fill="FFFFFF"/>
        </w:rPr>
        <w:footnoteReference w:id="39"/>
      </w:r>
    </w:p>
    <w:p w14:paraId="56FC9211" w14:textId="11C7E095" w:rsidR="00C363E7" w:rsidRDefault="00C363E7" w:rsidP="00F658F1">
      <w:pPr>
        <w:spacing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This is </w:t>
      </w:r>
      <w:r w:rsidR="00CA1073">
        <w:rPr>
          <w:rFonts w:ascii="Times New Roman" w:hAnsi="Times New Roman" w:cs="Times New Roman"/>
          <w:sz w:val="24"/>
          <w:szCs w:val="24"/>
          <w:shd w:val="clear" w:color="auto" w:fill="FFFFFF"/>
        </w:rPr>
        <w:t>one of the issues with</w:t>
      </w:r>
      <w:r>
        <w:rPr>
          <w:rFonts w:ascii="Times New Roman" w:hAnsi="Times New Roman" w:cs="Times New Roman"/>
          <w:sz w:val="24"/>
          <w:szCs w:val="24"/>
          <w:shd w:val="clear" w:color="auto" w:fill="FFFFFF"/>
        </w:rPr>
        <w:t xml:space="preserve"> Goldman’s work – and the work of other historians who have just as noticeably ignored this substantial piece of Soviet history. Clearly, World War II </w:t>
      </w:r>
      <w:r w:rsidR="005D46F3">
        <w:rPr>
          <w:rFonts w:ascii="Times New Roman" w:hAnsi="Times New Roman" w:cs="Times New Roman"/>
          <w:sz w:val="24"/>
          <w:szCs w:val="24"/>
          <w:shd w:val="clear" w:color="auto" w:fill="FFFFFF"/>
        </w:rPr>
        <w:t>must have had</w:t>
      </w:r>
      <w:r>
        <w:rPr>
          <w:rFonts w:ascii="Times New Roman" w:hAnsi="Times New Roman" w:cs="Times New Roman"/>
          <w:sz w:val="24"/>
          <w:szCs w:val="24"/>
          <w:shd w:val="clear" w:color="auto" w:fill="FFFFFF"/>
        </w:rPr>
        <w:t xml:space="preserve"> a significant impact on the industry given its movement to the rear</w:t>
      </w:r>
      <w:r w:rsidR="005D46F3">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along with women’s involvement in it. One would expect the Communist Party </w:t>
      </w:r>
      <w:r w:rsidR="005D46F3">
        <w:rPr>
          <w:rFonts w:ascii="Times New Roman" w:hAnsi="Times New Roman" w:cs="Times New Roman"/>
          <w:sz w:val="24"/>
          <w:szCs w:val="24"/>
          <w:shd w:val="clear" w:color="auto" w:fill="FFFFFF"/>
        </w:rPr>
        <w:t>to</w:t>
      </w:r>
      <w:r>
        <w:rPr>
          <w:rFonts w:ascii="Times New Roman" w:hAnsi="Times New Roman" w:cs="Times New Roman"/>
          <w:sz w:val="24"/>
          <w:szCs w:val="24"/>
          <w:shd w:val="clear" w:color="auto" w:fill="FFFFFF"/>
        </w:rPr>
        <w:t xml:space="preserve"> have eagerly documented an uptick in the number of women involved in the industrial sector of the Soviet economy as it would provide proof of the USSR approaching equality between genders.</w:t>
      </w:r>
      <w:r>
        <w:rPr>
          <w:rStyle w:val="FootnoteReference"/>
          <w:rFonts w:ascii="Times New Roman" w:hAnsi="Times New Roman" w:cs="Times New Roman"/>
          <w:sz w:val="24"/>
          <w:szCs w:val="24"/>
          <w:shd w:val="clear" w:color="auto" w:fill="FFFFFF"/>
        </w:rPr>
        <w:footnoteReference w:id="40"/>
      </w:r>
      <w:r>
        <w:rPr>
          <w:rFonts w:ascii="Times New Roman" w:hAnsi="Times New Roman" w:cs="Times New Roman"/>
          <w:sz w:val="24"/>
          <w:szCs w:val="24"/>
          <w:shd w:val="clear" w:color="auto" w:fill="FFFFFF"/>
        </w:rPr>
        <w:t xml:space="preserve"> This is exactly what happens in </w:t>
      </w:r>
      <w:proofErr w:type="spellStart"/>
      <w:r>
        <w:rPr>
          <w:rFonts w:ascii="Times New Roman" w:hAnsi="Times New Roman" w:cs="Times New Roman"/>
          <w:sz w:val="24"/>
          <w:szCs w:val="24"/>
          <w:shd w:val="clear" w:color="auto" w:fill="FFFFFF"/>
        </w:rPr>
        <w:t>Peri’s</w:t>
      </w:r>
      <w:proofErr w:type="spellEnd"/>
      <w:r>
        <w:rPr>
          <w:rFonts w:ascii="Times New Roman" w:hAnsi="Times New Roman" w:cs="Times New Roman"/>
          <w:sz w:val="24"/>
          <w:szCs w:val="24"/>
          <w:shd w:val="clear" w:color="auto" w:fill="FFFFFF"/>
        </w:rPr>
        <w:t xml:space="preserve"> book as women began to take on jobs formerly gendered as male. Yet, instead of being </w:t>
      </w:r>
      <w:r w:rsidR="00CA1073">
        <w:rPr>
          <w:rFonts w:ascii="Times New Roman" w:hAnsi="Times New Roman" w:cs="Times New Roman"/>
          <w:sz w:val="24"/>
          <w:szCs w:val="24"/>
          <w:shd w:val="clear" w:color="auto" w:fill="FFFFFF"/>
        </w:rPr>
        <w:t>seen</w:t>
      </w:r>
      <w:r>
        <w:rPr>
          <w:rFonts w:ascii="Times New Roman" w:hAnsi="Times New Roman" w:cs="Times New Roman"/>
          <w:sz w:val="24"/>
          <w:szCs w:val="24"/>
          <w:shd w:val="clear" w:color="auto" w:fill="FFFFFF"/>
        </w:rPr>
        <w:t xml:space="preserve"> as strong women, </w:t>
      </w:r>
      <w:proofErr w:type="spellStart"/>
      <w:r>
        <w:rPr>
          <w:rFonts w:ascii="Times New Roman" w:hAnsi="Times New Roman" w:cs="Times New Roman"/>
          <w:sz w:val="24"/>
          <w:szCs w:val="24"/>
          <w:shd w:val="clear" w:color="auto" w:fill="FFFFFF"/>
        </w:rPr>
        <w:t>Peri</w:t>
      </w:r>
      <w:proofErr w:type="spellEnd"/>
      <w:r>
        <w:rPr>
          <w:rFonts w:ascii="Times New Roman" w:hAnsi="Times New Roman" w:cs="Times New Roman"/>
          <w:sz w:val="24"/>
          <w:szCs w:val="24"/>
          <w:shd w:val="clear" w:color="auto" w:fill="FFFFFF"/>
        </w:rPr>
        <w:t xml:space="preserve"> explicitly uses an excerpt from the press that describes these women as possessing “unwomanly strength</w:t>
      </w:r>
      <w:r w:rsidR="00CA1073">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w:t>
      </w:r>
      <w:r w:rsidR="00CA1073">
        <w:rPr>
          <w:rFonts w:ascii="Times New Roman" w:hAnsi="Times New Roman" w:cs="Times New Roman"/>
          <w:sz w:val="24"/>
          <w:szCs w:val="24"/>
          <w:shd w:val="clear" w:color="auto" w:fill="FFFFFF"/>
        </w:rPr>
        <w:t xml:space="preserve"> suggesting these women were manly.</w:t>
      </w:r>
      <w:r>
        <w:rPr>
          <w:rStyle w:val="FootnoteReference"/>
          <w:rFonts w:ascii="Times New Roman" w:hAnsi="Times New Roman" w:cs="Times New Roman"/>
          <w:sz w:val="24"/>
          <w:szCs w:val="24"/>
          <w:shd w:val="clear" w:color="auto" w:fill="FFFFFF"/>
        </w:rPr>
        <w:footnoteReference w:id="41"/>
      </w:r>
      <w:r>
        <w:rPr>
          <w:rFonts w:ascii="Times New Roman" w:hAnsi="Times New Roman" w:cs="Times New Roman"/>
          <w:sz w:val="24"/>
          <w:szCs w:val="24"/>
          <w:shd w:val="clear" w:color="auto" w:fill="FFFFFF"/>
        </w:rPr>
        <w:t xml:space="preserve"> Just as in Goldman’s book, </w:t>
      </w:r>
      <w:proofErr w:type="spellStart"/>
      <w:r>
        <w:rPr>
          <w:rFonts w:ascii="Times New Roman" w:hAnsi="Times New Roman" w:cs="Times New Roman"/>
          <w:sz w:val="24"/>
          <w:szCs w:val="24"/>
          <w:shd w:val="clear" w:color="auto" w:fill="FFFFFF"/>
        </w:rPr>
        <w:t>Peri’s</w:t>
      </w:r>
      <w:proofErr w:type="spellEnd"/>
      <w:r>
        <w:rPr>
          <w:rFonts w:ascii="Times New Roman" w:hAnsi="Times New Roman" w:cs="Times New Roman"/>
          <w:sz w:val="24"/>
          <w:szCs w:val="24"/>
          <w:shd w:val="clear" w:color="auto" w:fill="FFFFFF"/>
        </w:rPr>
        <w:t xml:space="preserve"> book also shows that women </w:t>
      </w:r>
      <w:r w:rsidR="00DA3F6C">
        <w:rPr>
          <w:rFonts w:ascii="Times New Roman" w:hAnsi="Times New Roman" w:cs="Times New Roman"/>
          <w:sz w:val="24"/>
          <w:szCs w:val="24"/>
          <w:shd w:val="clear" w:color="auto" w:fill="FFFFFF"/>
        </w:rPr>
        <w:t xml:space="preserve">essentially </w:t>
      </w:r>
      <w:r>
        <w:rPr>
          <w:rFonts w:ascii="Times New Roman" w:hAnsi="Times New Roman" w:cs="Times New Roman"/>
          <w:sz w:val="24"/>
          <w:szCs w:val="24"/>
          <w:shd w:val="clear" w:color="auto" w:fill="FFFFFF"/>
        </w:rPr>
        <w:t>had to be men in order to be perceived as strong and fully capable of handling certain positions in factories.</w:t>
      </w:r>
    </w:p>
    <w:p w14:paraId="327C8BBD" w14:textId="7AEF5C00" w:rsidR="00C363E7" w:rsidRDefault="00C363E7" w:rsidP="00F658F1">
      <w:pPr>
        <w:spacing w:line="48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sz w:val="24"/>
          <w:szCs w:val="24"/>
          <w:shd w:val="clear" w:color="auto" w:fill="FFFFFF"/>
        </w:rPr>
        <w:t xml:space="preserve">Women were not simply a cog in the overall machine of the USSR’s war effort, however. They also felt the impact of the war and sought out information on the </w:t>
      </w:r>
      <w:r w:rsidR="005D46F3">
        <w:rPr>
          <w:rFonts w:ascii="Times New Roman" w:hAnsi="Times New Roman" w:cs="Times New Roman"/>
          <w:sz w:val="24"/>
          <w:szCs w:val="24"/>
          <w:shd w:val="clear" w:color="auto" w:fill="FFFFFF"/>
        </w:rPr>
        <w:t xml:space="preserve">war </w:t>
      </w:r>
      <w:r>
        <w:rPr>
          <w:rFonts w:ascii="Times New Roman" w:hAnsi="Times New Roman" w:cs="Times New Roman"/>
          <w:sz w:val="24"/>
          <w:szCs w:val="24"/>
          <w:shd w:val="clear" w:color="auto" w:fill="FFFFFF"/>
        </w:rPr>
        <w:t xml:space="preserve">front. With relatives and spouses fighting on the frontlines, these women looked for hope in seemingly odd places. In Geoffrey Hosking’s book </w:t>
      </w:r>
      <w:r w:rsidRPr="00A06802">
        <w:rPr>
          <w:rFonts w:ascii="Times New Roman" w:hAnsi="Times New Roman" w:cs="Times New Roman"/>
          <w:i/>
          <w:iCs/>
          <w:color w:val="000000"/>
          <w:sz w:val="24"/>
          <w:szCs w:val="24"/>
          <w:shd w:val="clear" w:color="auto" w:fill="FFFFFF"/>
        </w:rPr>
        <w:t>Rulers and Victims: The Russians in the Soviet Union</w:t>
      </w:r>
      <w:r>
        <w:rPr>
          <w:rFonts w:ascii="Times New Roman" w:hAnsi="Times New Roman" w:cs="Times New Roman"/>
          <w:color w:val="000000"/>
          <w:sz w:val="24"/>
          <w:szCs w:val="24"/>
          <w:shd w:val="clear" w:color="auto" w:fill="FFFFFF"/>
        </w:rPr>
        <w:t xml:space="preserve">, he discovered that women looked to poetry on the </w:t>
      </w:r>
      <w:r w:rsidR="005D46F3">
        <w:rPr>
          <w:rFonts w:ascii="Times New Roman" w:hAnsi="Times New Roman" w:cs="Times New Roman"/>
          <w:color w:val="000000"/>
          <w:sz w:val="24"/>
          <w:szCs w:val="24"/>
          <w:shd w:val="clear" w:color="auto" w:fill="FFFFFF"/>
        </w:rPr>
        <w:t xml:space="preserve">war </w:t>
      </w:r>
      <w:r>
        <w:rPr>
          <w:rFonts w:ascii="Times New Roman" w:hAnsi="Times New Roman" w:cs="Times New Roman"/>
          <w:color w:val="000000"/>
          <w:sz w:val="24"/>
          <w:szCs w:val="24"/>
          <w:shd w:val="clear" w:color="auto" w:fill="FFFFFF"/>
        </w:rPr>
        <w:t>front for hope. Through this poetry, they imagined their loved ones fighting for the motherland, inspiring the women to continue working on the home front.</w:t>
      </w:r>
      <w:r>
        <w:rPr>
          <w:rStyle w:val="FootnoteReference"/>
          <w:rFonts w:ascii="Times New Roman" w:hAnsi="Times New Roman" w:cs="Times New Roman"/>
          <w:color w:val="000000"/>
          <w:sz w:val="24"/>
          <w:szCs w:val="24"/>
          <w:shd w:val="clear" w:color="auto" w:fill="FFFFFF"/>
        </w:rPr>
        <w:footnoteReference w:id="42"/>
      </w:r>
      <w:r>
        <w:rPr>
          <w:rFonts w:ascii="Times New Roman" w:hAnsi="Times New Roman" w:cs="Times New Roman"/>
          <w:color w:val="000000"/>
          <w:sz w:val="24"/>
          <w:szCs w:val="24"/>
          <w:shd w:val="clear" w:color="auto" w:fill="FFFFFF"/>
        </w:rPr>
        <w:t xml:space="preserve"> Despite the desire for a happy reunion with family members fighting on the </w:t>
      </w:r>
      <w:r w:rsidR="005D46F3">
        <w:rPr>
          <w:rFonts w:ascii="Times New Roman" w:hAnsi="Times New Roman" w:cs="Times New Roman"/>
          <w:color w:val="000000"/>
          <w:sz w:val="24"/>
          <w:szCs w:val="24"/>
          <w:shd w:val="clear" w:color="auto" w:fill="FFFFFF"/>
        </w:rPr>
        <w:t xml:space="preserve">war </w:t>
      </w:r>
      <w:r>
        <w:rPr>
          <w:rFonts w:ascii="Times New Roman" w:hAnsi="Times New Roman" w:cs="Times New Roman"/>
          <w:color w:val="000000"/>
          <w:sz w:val="24"/>
          <w:szCs w:val="24"/>
          <w:shd w:val="clear" w:color="auto" w:fill="FFFFFF"/>
        </w:rPr>
        <w:t xml:space="preserve">front, the </w:t>
      </w:r>
      <w:r>
        <w:rPr>
          <w:rFonts w:ascii="Times New Roman" w:hAnsi="Times New Roman" w:cs="Times New Roman"/>
          <w:color w:val="000000"/>
          <w:sz w:val="24"/>
          <w:szCs w:val="24"/>
          <w:shd w:val="clear" w:color="auto" w:fill="FFFFFF"/>
        </w:rPr>
        <w:lastRenderedPageBreak/>
        <w:t>reality was often much bleaker. Women who were left behind by their spouses often fell into crushing poverty that occasionally led to them having to sell themselves in order to get by.</w:t>
      </w:r>
      <w:r>
        <w:rPr>
          <w:rStyle w:val="FootnoteReference"/>
          <w:rFonts w:ascii="Times New Roman" w:hAnsi="Times New Roman" w:cs="Times New Roman"/>
          <w:color w:val="000000"/>
          <w:sz w:val="24"/>
          <w:szCs w:val="24"/>
          <w:shd w:val="clear" w:color="auto" w:fill="FFFFFF"/>
        </w:rPr>
        <w:footnoteReference w:id="43"/>
      </w:r>
      <w:r>
        <w:rPr>
          <w:rFonts w:ascii="Times New Roman" w:hAnsi="Times New Roman" w:cs="Times New Roman"/>
          <w:color w:val="000000"/>
          <w:sz w:val="24"/>
          <w:szCs w:val="24"/>
          <w:shd w:val="clear" w:color="auto" w:fill="FFFFFF"/>
        </w:rPr>
        <w:t xml:space="preserve"> Even if a woman </w:t>
      </w:r>
      <w:r w:rsidR="005D46F3">
        <w:rPr>
          <w:rFonts w:ascii="Times New Roman" w:hAnsi="Times New Roman" w:cs="Times New Roman"/>
          <w:color w:val="000000"/>
          <w:sz w:val="24"/>
          <w:szCs w:val="24"/>
          <w:shd w:val="clear" w:color="auto" w:fill="FFFFFF"/>
        </w:rPr>
        <w:t>was</w:t>
      </w:r>
      <w:r>
        <w:rPr>
          <w:rFonts w:ascii="Times New Roman" w:hAnsi="Times New Roman" w:cs="Times New Roman"/>
          <w:color w:val="000000"/>
          <w:sz w:val="24"/>
          <w:szCs w:val="24"/>
          <w:shd w:val="clear" w:color="auto" w:fill="FFFFFF"/>
        </w:rPr>
        <w:t xml:space="preserve"> a spouse of a man serving at the frontlines, she and her family were not guaranteed aid from the Soviet government and would generally be provided with the bare minimum needed to survive.</w:t>
      </w:r>
      <w:r>
        <w:rPr>
          <w:rStyle w:val="FootnoteReference"/>
          <w:rFonts w:ascii="Times New Roman" w:hAnsi="Times New Roman" w:cs="Times New Roman"/>
          <w:color w:val="000000"/>
          <w:sz w:val="24"/>
          <w:szCs w:val="24"/>
          <w:shd w:val="clear" w:color="auto" w:fill="FFFFFF"/>
        </w:rPr>
        <w:footnoteReference w:id="44"/>
      </w:r>
    </w:p>
    <w:p w14:paraId="6F09AB46" w14:textId="3BFF6E0D" w:rsidR="00C363E7" w:rsidRPr="007F3852" w:rsidRDefault="00C363E7" w:rsidP="00F658F1">
      <w:pPr>
        <w:spacing w:line="480" w:lineRule="auto"/>
        <w:ind w:firstLine="720"/>
        <w:rPr>
          <w:rFonts w:ascii="Times New Roman" w:hAnsi="Times New Roman" w:cs="Times New Roman"/>
          <w:sz w:val="24"/>
          <w:szCs w:val="24"/>
          <w:shd w:val="clear" w:color="auto" w:fill="FFFFFF"/>
        </w:rPr>
      </w:pPr>
      <w:r>
        <w:rPr>
          <w:rFonts w:ascii="Times New Roman" w:hAnsi="Times New Roman" w:cs="Times New Roman"/>
          <w:color w:val="000000"/>
          <w:sz w:val="24"/>
          <w:szCs w:val="24"/>
          <w:shd w:val="clear" w:color="auto" w:fill="FFFFFF"/>
        </w:rPr>
        <w:t>Life for women on the home front was difficult, usually involving crushing poverty, loneliness, and back-breaking work just to make ends meet. Unfortunately, the current historiography has wide gaps that ignore women in industry and what happened to widows of Red Army soldiers. Although there has been good research on pre-war women working in industry, what happened during the war has been brushed over. While there has been research on how women comforted themselves in the absence of their partners, there has been little discussion on what happened when a woman’s spouse on the frontlines died – or worse yet, when he went ‘missing in action.’ There are many avenues for historians to take on this topic in the coming decades, and hopefully more will be uncovered over time.</w:t>
      </w:r>
    </w:p>
    <w:p w14:paraId="51B676C7" w14:textId="0B74D526" w:rsidR="00C363E7" w:rsidRDefault="00C363E7" w:rsidP="00D3221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Overall, the current historiography on the USSR’s home front during World War II is poor. While some researchers have briefly discussed certain themes pertaining to this topic, the home front itself has yet to be properly examined. Although many works have been written on events occurring before and after the war, researchers have been overlooking what happened during the war. Most historians working in the field on the USSR during the war look exclusively at what was occurring on the frontlines, which is undoubtedly an important topic to inspect, but it is leading to the problem of no one asking about the home front – an equally </w:t>
      </w:r>
      <w:r>
        <w:rPr>
          <w:rFonts w:ascii="Times New Roman" w:hAnsi="Times New Roman" w:cs="Times New Roman"/>
          <w:sz w:val="24"/>
          <w:szCs w:val="24"/>
        </w:rPr>
        <w:lastRenderedPageBreak/>
        <w:t>important subject matter.</w:t>
      </w:r>
      <w:r w:rsidR="008B3468">
        <w:rPr>
          <w:rStyle w:val="FootnoteReference"/>
          <w:rFonts w:ascii="Times New Roman" w:hAnsi="Times New Roman" w:cs="Times New Roman"/>
          <w:sz w:val="24"/>
          <w:szCs w:val="24"/>
        </w:rPr>
        <w:footnoteReference w:id="45"/>
      </w:r>
      <w:r>
        <w:rPr>
          <w:rFonts w:ascii="Times New Roman" w:hAnsi="Times New Roman" w:cs="Times New Roman"/>
          <w:sz w:val="24"/>
          <w:szCs w:val="24"/>
        </w:rPr>
        <w:t xml:space="preserve"> Those who do focus on the home front consistently fail to bridge the gap between pre-war and war-time, or war-time and post-war.</w:t>
      </w:r>
      <w:r w:rsidR="00E36A98">
        <w:rPr>
          <w:rStyle w:val="FootnoteReference"/>
          <w:rFonts w:ascii="Times New Roman" w:hAnsi="Times New Roman" w:cs="Times New Roman"/>
          <w:sz w:val="24"/>
          <w:szCs w:val="24"/>
        </w:rPr>
        <w:footnoteReference w:id="46"/>
      </w:r>
      <w:r>
        <w:rPr>
          <w:rFonts w:ascii="Times New Roman" w:hAnsi="Times New Roman" w:cs="Times New Roman"/>
          <w:sz w:val="24"/>
          <w:szCs w:val="24"/>
        </w:rPr>
        <w:t xml:space="preserve"> Researchers seem to be examining almost every time period but the war – a strange phenomenon.</w:t>
      </w:r>
    </w:p>
    <w:p w14:paraId="66F6718F" w14:textId="0EAF0B9F" w:rsidR="00166406" w:rsidRPr="00166406" w:rsidRDefault="00166406" w:rsidP="00D3221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While Alexis </w:t>
      </w:r>
      <w:proofErr w:type="spellStart"/>
      <w:r>
        <w:rPr>
          <w:rFonts w:ascii="Times New Roman" w:hAnsi="Times New Roman" w:cs="Times New Roman"/>
          <w:sz w:val="24"/>
          <w:szCs w:val="24"/>
        </w:rPr>
        <w:t>Peri’s</w:t>
      </w:r>
      <w:proofErr w:type="spellEnd"/>
      <w:r>
        <w:rPr>
          <w:rFonts w:ascii="Times New Roman" w:hAnsi="Times New Roman" w:cs="Times New Roman"/>
          <w:sz w:val="24"/>
          <w:szCs w:val="24"/>
        </w:rPr>
        <w:t xml:space="preserve"> book, </w:t>
      </w:r>
      <w:r>
        <w:rPr>
          <w:rFonts w:ascii="Times New Roman" w:hAnsi="Times New Roman" w:cs="Times New Roman"/>
          <w:i/>
          <w:iCs/>
          <w:sz w:val="24"/>
          <w:szCs w:val="24"/>
        </w:rPr>
        <w:t>The War Within</w:t>
      </w:r>
      <w:r>
        <w:rPr>
          <w:rFonts w:ascii="Times New Roman" w:hAnsi="Times New Roman" w:cs="Times New Roman"/>
          <w:sz w:val="24"/>
          <w:szCs w:val="24"/>
        </w:rPr>
        <w:t>, delves into the home front by concentrating on Leningraders, her main focus is on examining the personal accounts of common people on how the siege was affecting the city</w:t>
      </w:r>
      <w:r w:rsidR="00724BE2">
        <w:rPr>
          <w:rFonts w:ascii="Times New Roman" w:hAnsi="Times New Roman" w:cs="Times New Roman"/>
          <w:sz w:val="24"/>
          <w:szCs w:val="24"/>
        </w:rPr>
        <w:t xml:space="preserve"> specifically through starvation</w:t>
      </w:r>
      <w:r>
        <w:rPr>
          <w:rFonts w:ascii="Times New Roman" w:hAnsi="Times New Roman" w:cs="Times New Roman"/>
          <w:sz w:val="24"/>
          <w:szCs w:val="24"/>
        </w:rPr>
        <w:t>.</w:t>
      </w:r>
      <w:r w:rsidR="00724BE2">
        <w:rPr>
          <w:rStyle w:val="FootnoteReference"/>
          <w:rFonts w:ascii="Times New Roman" w:hAnsi="Times New Roman" w:cs="Times New Roman"/>
          <w:sz w:val="24"/>
          <w:szCs w:val="24"/>
        </w:rPr>
        <w:footnoteReference w:id="47"/>
      </w:r>
      <w:r>
        <w:rPr>
          <w:rFonts w:ascii="Times New Roman" w:hAnsi="Times New Roman" w:cs="Times New Roman"/>
          <w:sz w:val="24"/>
          <w:szCs w:val="24"/>
        </w:rPr>
        <w:t xml:space="preserve"> Her research and findings are impressive, and the way she sections her book touches on many aspects of the home front. </w:t>
      </w:r>
      <w:proofErr w:type="spellStart"/>
      <w:r>
        <w:rPr>
          <w:rFonts w:ascii="Times New Roman" w:hAnsi="Times New Roman" w:cs="Times New Roman"/>
          <w:sz w:val="24"/>
          <w:szCs w:val="24"/>
        </w:rPr>
        <w:t>Peri</w:t>
      </w:r>
      <w:proofErr w:type="spellEnd"/>
      <w:r>
        <w:rPr>
          <w:rFonts w:ascii="Times New Roman" w:hAnsi="Times New Roman" w:cs="Times New Roman"/>
          <w:sz w:val="24"/>
          <w:szCs w:val="24"/>
        </w:rPr>
        <w:t xml:space="preserve"> examines family, orphaned children, factory workers, and more, which captures the essence of how the war was affecting the home front from Leningrad’s perspective.</w:t>
      </w:r>
      <w:r w:rsidR="00724BE2">
        <w:rPr>
          <w:rStyle w:val="FootnoteReference"/>
          <w:rFonts w:ascii="Times New Roman" w:hAnsi="Times New Roman" w:cs="Times New Roman"/>
          <w:sz w:val="24"/>
          <w:szCs w:val="24"/>
        </w:rPr>
        <w:footnoteReference w:id="48"/>
      </w:r>
      <w:r>
        <w:rPr>
          <w:rFonts w:ascii="Times New Roman" w:hAnsi="Times New Roman" w:cs="Times New Roman"/>
          <w:sz w:val="24"/>
          <w:szCs w:val="24"/>
        </w:rPr>
        <w:t xml:space="preserve"> </w:t>
      </w:r>
      <w:r w:rsidR="00800479">
        <w:rPr>
          <w:rFonts w:ascii="Times New Roman" w:hAnsi="Times New Roman" w:cs="Times New Roman"/>
          <w:sz w:val="24"/>
          <w:szCs w:val="24"/>
        </w:rPr>
        <w:t>So, despite her primary argument being directed toward the realities from within ‘the ring,’ she stumbles upon important factors dealing with life away from the war’s frontlines.</w:t>
      </w:r>
    </w:p>
    <w:p w14:paraId="5FF7845C" w14:textId="77777777" w:rsidR="005035A7" w:rsidRDefault="00C363E7" w:rsidP="005035A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Currently, the single most comprehensive piece of literature on the home front is P. Charles </w:t>
      </w:r>
      <w:proofErr w:type="spellStart"/>
      <w:r>
        <w:rPr>
          <w:rFonts w:ascii="Times New Roman" w:hAnsi="Times New Roman" w:cs="Times New Roman"/>
          <w:sz w:val="24"/>
          <w:szCs w:val="24"/>
        </w:rPr>
        <w:t>Hachten’s</w:t>
      </w:r>
      <w:proofErr w:type="spellEnd"/>
      <w:r>
        <w:rPr>
          <w:rFonts w:ascii="Times New Roman" w:hAnsi="Times New Roman" w:cs="Times New Roman"/>
          <w:sz w:val="24"/>
          <w:szCs w:val="24"/>
        </w:rPr>
        <w:t xml:space="preserve"> dissertation, “Property Organizations and the Economic Organization of Soviet Russia, 1941-1948.” Though the dissertation is framed around the economics of the Soviet Union, </w:t>
      </w:r>
      <w:proofErr w:type="spellStart"/>
      <w:r>
        <w:rPr>
          <w:rFonts w:ascii="Times New Roman" w:hAnsi="Times New Roman" w:cs="Times New Roman"/>
          <w:sz w:val="24"/>
          <w:szCs w:val="24"/>
        </w:rPr>
        <w:t>Hachten’s</w:t>
      </w:r>
      <w:proofErr w:type="spellEnd"/>
      <w:r>
        <w:rPr>
          <w:rFonts w:ascii="Times New Roman" w:hAnsi="Times New Roman" w:cs="Times New Roman"/>
          <w:sz w:val="24"/>
          <w:szCs w:val="24"/>
        </w:rPr>
        <w:t xml:space="preserve"> work hits key points of the home front that are often ignored. </w:t>
      </w:r>
      <w:proofErr w:type="spellStart"/>
      <w:r>
        <w:rPr>
          <w:rFonts w:ascii="Times New Roman" w:hAnsi="Times New Roman" w:cs="Times New Roman"/>
          <w:sz w:val="24"/>
          <w:szCs w:val="24"/>
        </w:rPr>
        <w:t>Hachten</w:t>
      </w:r>
      <w:proofErr w:type="spellEnd"/>
      <w:r>
        <w:rPr>
          <w:rFonts w:ascii="Times New Roman" w:hAnsi="Times New Roman" w:cs="Times New Roman"/>
          <w:sz w:val="24"/>
          <w:szCs w:val="24"/>
        </w:rPr>
        <w:t xml:space="preserve"> made contributions to the scholarship on women, families, evacuated peoples, and orphans – all topics that have been discussed by other scholars, but never in a way </w:t>
      </w:r>
      <w:proofErr w:type="gramStart"/>
      <w:r>
        <w:rPr>
          <w:rFonts w:ascii="Times New Roman" w:hAnsi="Times New Roman" w:cs="Times New Roman"/>
          <w:sz w:val="24"/>
          <w:szCs w:val="24"/>
        </w:rPr>
        <w:t>that connects</w:t>
      </w:r>
      <w:proofErr w:type="gramEnd"/>
      <w:r>
        <w:rPr>
          <w:rFonts w:ascii="Times New Roman" w:hAnsi="Times New Roman" w:cs="Times New Roman"/>
          <w:sz w:val="24"/>
          <w:szCs w:val="24"/>
        </w:rPr>
        <w:t xml:space="preserve"> them all to the </w:t>
      </w:r>
      <w:r>
        <w:rPr>
          <w:rFonts w:ascii="Times New Roman" w:hAnsi="Times New Roman" w:cs="Times New Roman"/>
          <w:sz w:val="24"/>
          <w:szCs w:val="24"/>
        </w:rPr>
        <w:lastRenderedPageBreak/>
        <w:t>bigger picture of the home front.</w:t>
      </w:r>
      <w:r>
        <w:rPr>
          <w:rStyle w:val="FootnoteReference"/>
          <w:rFonts w:ascii="Times New Roman" w:hAnsi="Times New Roman" w:cs="Times New Roman"/>
          <w:sz w:val="24"/>
          <w:szCs w:val="24"/>
        </w:rPr>
        <w:footnoteReference w:id="49"/>
      </w:r>
      <w:r>
        <w:rPr>
          <w:rFonts w:ascii="Times New Roman" w:hAnsi="Times New Roman" w:cs="Times New Roman"/>
          <w:sz w:val="24"/>
          <w:szCs w:val="24"/>
        </w:rPr>
        <w:t xml:space="preserve"> </w:t>
      </w:r>
      <w:r w:rsidR="005035A7">
        <w:rPr>
          <w:rFonts w:ascii="Times New Roman" w:hAnsi="Times New Roman" w:cs="Times New Roman"/>
          <w:sz w:val="24"/>
          <w:szCs w:val="24"/>
        </w:rPr>
        <w:t>The author stands out in the historiography as a shining example of where the future of this field should go.</w:t>
      </w:r>
    </w:p>
    <w:p w14:paraId="359DB5FC" w14:textId="77777777" w:rsidR="005A78CA" w:rsidRPr="007F0C49" w:rsidRDefault="005A78CA" w:rsidP="005035A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this essay, I have argued that the historiography on the home front of the USSR is poor. Though some researchers have looked into the </w:t>
      </w:r>
      <w:r w:rsidR="003F68A7">
        <w:rPr>
          <w:rFonts w:ascii="Times New Roman" w:hAnsi="Times New Roman" w:cs="Times New Roman"/>
          <w:sz w:val="24"/>
          <w:szCs w:val="24"/>
        </w:rPr>
        <w:t>smaller sub-sections of the home front</w:t>
      </w:r>
      <w:r>
        <w:rPr>
          <w:rFonts w:ascii="Times New Roman" w:hAnsi="Times New Roman" w:cs="Times New Roman"/>
          <w:sz w:val="24"/>
          <w:szCs w:val="24"/>
        </w:rPr>
        <w:t xml:space="preserve">, most are not discussing the home front </w:t>
      </w:r>
      <w:r w:rsidR="003F68A7">
        <w:rPr>
          <w:rFonts w:ascii="Times New Roman" w:hAnsi="Times New Roman" w:cs="Times New Roman"/>
          <w:sz w:val="24"/>
          <w:szCs w:val="24"/>
        </w:rPr>
        <w:t xml:space="preserve">overall </w:t>
      </w:r>
      <w:r>
        <w:rPr>
          <w:rFonts w:ascii="Times New Roman" w:hAnsi="Times New Roman" w:cs="Times New Roman"/>
          <w:sz w:val="24"/>
          <w:szCs w:val="24"/>
        </w:rPr>
        <w:t>and making important connections</w:t>
      </w:r>
      <w:r w:rsidR="003F68A7">
        <w:rPr>
          <w:rFonts w:ascii="Times New Roman" w:hAnsi="Times New Roman" w:cs="Times New Roman"/>
          <w:sz w:val="24"/>
          <w:szCs w:val="24"/>
        </w:rPr>
        <w:t xml:space="preserve"> on how the war shifted the lives of those away from the frontlines</w:t>
      </w:r>
      <w:r>
        <w:rPr>
          <w:rFonts w:ascii="Times New Roman" w:hAnsi="Times New Roman" w:cs="Times New Roman"/>
          <w:sz w:val="24"/>
          <w:szCs w:val="24"/>
        </w:rPr>
        <w:t xml:space="preserve">. </w:t>
      </w:r>
      <w:r w:rsidR="00985D6A">
        <w:rPr>
          <w:rFonts w:ascii="Times New Roman" w:hAnsi="Times New Roman" w:cs="Times New Roman"/>
          <w:sz w:val="24"/>
          <w:szCs w:val="24"/>
        </w:rPr>
        <w:t xml:space="preserve">This is especially bizarre given the massive amounts of literature written on the home fronts of places such as the UK and the US. </w:t>
      </w:r>
      <w:r w:rsidR="003F68A7">
        <w:rPr>
          <w:rFonts w:ascii="Times New Roman" w:hAnsi="Times New Roman" w:cs="Times New Roman"/>
          <w:sz w:val="24"/>
          <w:szCs w:val="24"/>
        </w:rPr>
        <w:t>Despite the research that has been accomplished in the field, t</w:t>
      </w:r>
      <w:r w:rsidR="00985D6A">
        <w:rPr>
          <w:rFonts w:ascii="Times New Roman" w:hAnsi="Times New Roman" w:cs="Times New Roman"/>
          <w:sz w:val="24"/>
          <w:szCs w:val="24"/>
        </w:rPr>
        <w:t>he term ‘home front’ is barely seen in research on the Soviet era – something that will hopefully change in the future.</w:t>
      </w:r>
      <w:r w:rsidR="00891C6C">
        <w:rPr>
          <w:rFonts w:ascii="Times New Roman" w:hAnsi="Times New Roman" w:cs="Times New Roman"/>
          <w:sz w:val="24"/>
          <w:szCs w:val="24"/>
        </w:rPr>
        <w:t xml:space="preserve"> With time and effort, researchers may begin prompting the same questions I have included in this analysis.</w:t>
      </w:r>
    </w:p>
    <w:sectPr w:rsidR="005A78CA" w:rsidRPr="007F0C49" w:rsidSect="0070003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EDC390" w14:textId="77777777" w:rsidR="00AF4C42" w:rsidRDefault="00AF4C42" w:rsidP="00542F3A">
      <w:pPr>
        <w:spacing w:after="0" w:line="240" w:lineRule="auto"/>
      </w:pPr>
      <w:r>
        <w:separator/>
      </w:r>
    </w:p>
  </w:endnote>
  <w:endnote w:type="continuationSeparator" w:id="0">
    <w:p w14:paraId="7BC70CBD" w14:textId="77777777" w:rsidR="00AF4C42" w:rsidRDefault="00AF4C42" w:rsidP="00542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B41FC" w14:textId="77777777" w:rsidR="00AF4C42" w:rsidRDefault="00AF4C42" w:rsidP="00542F3A">
      <w:pPr>
        <w:spacing w:after="0" w:line="240" w:lineRule="auto"/>
      </w:pPr>
      <w:r>
        <w:separator/>
      </w:r>
    </w:p>
  </w:footnote>
  <w:footnote w:type="continuationSeparator" w:id="0">
    <w:p w14:paraId="18DEFB1F" w14:textId="77777777" w:rsidR="00AF4C42" w:rsidRDefault="00AF4C42" w:rsidP="00542F3A">
      <w:pPr>
        <w:spacing w:after="0" w:line="240" w:lineRule="auto"/>
      </w:pPr>
      <w:r>
        <w:continuationSeparator/>
      </w:r>
    </w:p>
  </w:footnote>
  <w:footnote w:id="1">
    <w:p w14:paraId="27CF1BE6" w14:textId="394030E8" w:rsidR="00401F6F" w:rsidRPr="008E5AE1" w:rsidRDefault="00401F6F" w:rsidP="00401F6F">
      <w:pPr>
        <w:pStyle w:val="FootnoteText"/>
        <w:ind w:firstLine="720"/>
      </w:pPr>
      <w:r>
        <w:rPr>
          <w:rStyle w:val="FootnoteReference"/>
        </w:rPr>
        <w:footnoteRef/>
      </w:r>
      <w:r w:rsidR="00E471B2">
        <w:t xml:space="preserve"> James J. Kimble, </w:t>
      </w:r>
      <w:r w:rsidR="00E471B2">
        <w:rPr>
          <w:i/>
          <w:iCs/>
        </w:rPr>
        <w:t>Mobilizing the Home Front: War Bonds and Domestic Propaganda</w:t>
      </w:r>
      <w:r w:rsidR="00E471B2">
        <w:t xml:space="preserve">, Presidential Rhetoric Series, no. 15, College Station: Texas A&amp;M University Press, 2006. </w:t>
      </w:r>
      <w:r>
        <w:t xml:space="preserve">; </w:t>
      </w:r>
      <w:r w:rsidR="00610C03">
        <w:t xml:space="preserve">Susan M. Hartmann, </w:t>
      </w:r>
      <w:proofErr w:type="gramStart"/>
      <w:r w:rsidR="00610C03">
        <w:rPr>
          <w:i/>
          <w:iCs/>
        </w:rPr>
        <w:t>The</w:t>
      </w:r>
      <w:proofErr w:type="gramEnd"/>
      <w:r w:rsidR="00610C03">
        <w:rPr>
          <w:i/>
          <w:iCs/>
        </w:rPr>
        <w:t xml:space="preserve"> Home Front and Beyond: American Women in the 1940s</w:t>
      </w:r>
      <w:r w:rsidR="00610C03">
        <w:t xml:space="preserve">, American Women in the Twentieth Century Series, Boston: </w:t>
      </w:r>
      <w:proofErr w:type="spellStart"/>
      <w:r w:rsidR="00610C03">
        <w:t>Twayne</w:t>
      </w:r>
      <w:proofErr w:type="spellEnd"/>
      <w:r w:rsidR="00610C03">
        <w:t xml:space="preserve"> Publishers, 1982. ; </w:t>
      </w:r>
      <w:r w:rsidR="008E5AE1">
        <w:t xml:space="preserve">Stephen Parker, </w:t>
      </w:r>
      <w:r w:rsidR="008E5AE1">
        <w:rPr>
          <w:i/>
          <w:iCs/>
        </w:rPr>
        <w:t>Faith on the Home Front: Aspects of Church Life and Popular Religion in Birmingham, 1939-1945</w:t>
      </w:r>
      <w:r w:rsidR="008E5AE1">
        <w:t>, Peter Lang Ltd, International Academic Publishers, 200</w:t>
      </w:r>
      <w:r w:rsidR="00F246CA">
        <w:t>5</w:t>
      </w:r>
      <w:r w:rsidR="008E5AE1">
        <w:t>.</w:t>
      </w:r>
    </w:p>
  </w:footnote>
  <w:footnote w:id="2">
    <w:p w14:paraId="63F7E408" w14:textId="14B5EBA0" w:rsidR="00387AB3" w:rsidRPr="00387AB3" w:rsidRDefault="00387AB3" w:rsidP="00387AB3">
      <w:pPr>
        <w:pStyle w:val="FootnoteText"/>
        <w:ind w:firstLine="720"/>
      </w:pPr>
      <w:r>
        <w:rPr>
          <w:rStyle w:val="FootnoteReference"/>
        </w:rPr>
        <w:footnoteRef/>
      </w:r>
      <w:r>
        <w:t xml:space="preserve"> John Barber and Mark Harrison, </w:t>
      </w:r>
      <w:proofErr w:type="gramStart"/>
      <w:r>
        <w:rPr>
          <w:i/>
          <w:iCs/>
        </w:rPr>
        <w:t>The</w:t>
      </w:r>
      <w:proofErr w:type="gramEnd"/>
      <w:r>
        <w:rPr>
          <w:i/>
          <w:iCs/>
        </w:rPr>
        <w:t xml:space="preserve"> Soviet Home Front, 1941-1945: A Social and Economic History of the USSR in World War II</w:t>
      </w:r>
      <w:r>
        <w:t xml:space="preserve"> (New York: Longman, 1991).</w:t>
      </w:r>
    </w:p>
  </w:footnote>
  <w:footnote w:id="3">
    <w:p w14:paraId="652CD107" w14:textId="4D60E659" w:rsidR="00441D35" w:rsidRPr="00441D35" w:rsidRDefault="00441D35" w:rsidP="00441D35">
      <w:pPr>
        <w:pStyle w:val="FootnoteText"/>
        <w:ind w:firstLine="720"/>
      </w:pPr>
      <w:r>
        <w:rPr>
          <w:rStyle w:val="FootnoteReference"/>
        </w:rPr>
        <w:footnoteRef/>
      </w:r>
      <w:r>
        <w:t xml:space="preserve"> Elizabeth White, review of </w:t>
      </w:r>
      <w:r>
        <w:rPr>
          <w:i/>
          <w:iCs/>
        </w:rPr>
        <w:t>To the Tashkent Station. Evacuation and Survival in the Soviet Union at War</w:t>
      </w:r>
      <w:r>
        <w:t xml:space="preserve">, by Rebecca Manley, </w:t>
      </w:r>
      <w:proofErr w:type="gramStart"/>
      <w:r>
        <w:rPr>
          <w:i/>
          <w:iCs/>
        </w:rPr>
        <w:t>The</w:t>
      </w:r>
      <w:proofErr w:type="gramEnd"/>
      <w:r>
        <w:rPr>
          <w:i/>
          <w:iCs/>
        </w:rPr>
        <w:t xml:space="preserve"> Soviet and Post-Soviet Review</w:t>
      </w:r>
      <w:r>
        <w:t>, 2011, 92.</w:t>
      </w:r>
    </w:p>
  </w:footnote>
  <w:footnote w:id="4">
    <w:p w14:paraId="553F31F6" w14:textId="3A26F5AD" w:rsidR="00C363E7" w:rsidRDefault="00C363E7" w:rsidP="00184B9E">
      <w:pPr>
        <w:pStyle w:val="FootnoteText"/>
        <w:ind w:firstLine="720"/>
      </w:pPr>
      <w:r>
        <w:rPr>
          <w:rStyle w:val="FootnoteReference"/>
        </w:rPr>
        <w:footnoteRef/>
      </w:r>
      <w:r>
        <w:t xml:space="preserve"> Martin </w:t>
      </w:r>
      <w:proofErr w:type="spellStart"/>
      <w:r>
        <w:t>Kragh</w:t>
      </w:r>
      <w:proofErr w:type="spellEnd"/>
      <w:r>
        <w:t xml:space="preserve">, “Stalinist </w:t>
      </w:r>
      <w:proofErr w:type="spellStart"/>
      <w:r>
        <w:t>Labour</w:t>
      </w:r>
      <w:proofErr w:type="spellEnd"/>
      <w:r>
        <w:t xml:space="preserve"> Coercion during World War II: An Economic Approach,” </w:t>
      </w:r>
      <w:r>
        <w:rPr>
          <w:i/>
          <w:iCs/>
        </w:rPr>
        <w:t xml:space="preserve">Europe-Asia Studies </w:t>
      </w:r>
      <w:r>
        <w:t>63, no. 7 (2011): 1253.</w:t>
      </w:r>
    </w:p>
  </w:footnote>
  <w:footnote w:id="5">
    <w:p w14:paraId="746C87BA" w14:textId="03ABC36B" w:rsidR="00C363E7" w:rsidRDefault="00C363E7" w:rsidP="00184B9E">
      <w:pPr>
        <w:pStyle w:val="FootnoteText"/>
        <w:ind w:firstLine="720"/>
      </w:pPr>
      <w:r>
        <w:rPr>
          <w:rStyle w:val="FootnoteReference"/>
        </w:rPr>
        <w:footnoteRef/>
      </w:r>
      <w:r>
        <w:t xml:space="preserve"> Peter </w:t>
      </w:r>
      <w:proofErr w:type="spellStart"/>
      <w:r>
        <w:t>Gatrell</w:t>
      </w:r>
      <w:proofErr w:type="spellEnd"/>
      <w:r>
        <w:t xml:space="preserve">, “Feet of Clay? The Soviet Economic Giant in Recent Historiography,” </w:t>
      </w:r>
      <w:r>
        <w:rPr>
          <w:i/>
          <w:iCs/>
        </w:rPr>
        <w:t xml:space="preserve">The Historical Journal </w:t>
      </w:r>
      <w:r>
        <w:t>49, no. 1 (2006): 307-8.</w:t>
      </w:r>
    </w:p>
  </w:footnote>
  <w:footnote w:id="6">
    <w:p w14:paraId="029FD0DA" w14:textId="6C48B29F" w:rsidR="00C363E7" w:rsidRDefault="00C363E7" w:rsidP="00EB55D7">
      <w:pPr>
        <w:pStyle w:val="FootnoteText"/>
        <w:ind w:firstLine="720"/>
      </w:pPr>
      <w:r>
        <w:rPr>
          <w:rStyle w:val="FootnoteReference"/>
        </w:rPr>
        <w:footnoteRef/>
      </w:r>
      <w:r>
        <w:t xml:space="preserve"> Martin </w:t>
      </w:r>
      <w:proofErr w:type="spellStart"/>
      <w:r>
        <w:t>Kragh</w:t>
      </w:r>
      <w:proofErr w:type="spellEnd"/>
      <w:r>
        <w:t xml:space="preserve">, “Stalinist </w:t>
      </w:r>
      <w:proofErr w:type="spellStart"/>
      <w:r>
        <w:t>Labour</w:t>
      </w:r>
      <w:proofErr w:type="spellEnd"/>
      <w:r>
        <w:t xml:space="preserve"> Coercion,” 1253.</w:t>
      </w:r>
    </w:p>
  </w:footnote>
  <w:footnote w:id="7">
    <w:p w14:paraId="481BEC6C" w14:textId="3BF96ED4" w:rsidR="00C363E7" w:rsidRDefault="00C363E7" w:rsidP="00EB55D7">
      <w:pPr>
        <w:pStyle w:val="FootnoteText"/>
        <w:ind w:firstLine="720"/>
      </w:pPr>
      <w:r>
        <w:rPr>
          <w:rStyle w:val="FootnoteReference"/>
        </w:rPr>
        <w:footnoteRef/>
      </w:r>
      <w:r>
        <w:t xml:space="preserve"> </w:t>
      </w:r>
      <w:proofErr w:type="gramStart"/>
      <w:r>
        <w:t>Ibid.,</w:t>
      </w:r>
      <w:proofErr w:type="gramEnd"/>
      <w:r>
        <w:t xml:space="preserve"> 1258.</w:t>
      </w:r>
    </w:p>
  </w:footnote>
  <w:footnote w:id="8">
    <w:p w14:paraId="7249D209" w14:textId="16B0866E" w:rsidR="00C363E7" w:rsidRDefault="00C363E7" w:rsidP="00EB55D7">
      <w:pPr>
        <w:pStyle w:val="FootnoteText"/>
        <w:ind w:firstLine="720"/>
      </w:pPr>
      <w:r>
        <w:rPr>
          <w:rStyle w:val="FootnoteReference"/>
        </w:rPr>
        <w:footnoteRef/>
      </w:r>
      <w:r>
        <w:t xml:space="preserve"> </w:t>
      </w:r>
      <w:r w:rsidR="00EB55D7">
        <w:rPr>
          <w:rFonts w:cstheme="minorHAnsi"/>
          <w:shd w:val="clear" w:color="auto" w:fill="FFFFFF"/>
        </w:rPr>
        <w:t>P</w:t>
      </w:r>
      <w:r w:rsidRPr="00542F3A">
        <w:rPr>
          <w:rFonts w:cstheme="minorHAnsi"/>
          <w:shd w:val="clear" w:color="auto" w:fill="FFFFFF"/>
        </w:rPr>
        <w:t>. Charles</w:t>
      </w:r>
      <w:r>
        <w:rPr>
          <w:rFonts w:cstheme="minorHAnsi"/>
          <w:shd w:val="clear" w:color="auto" w:fill="FFFFFF"/>
        </w:rPr>
        <w:t xml:space="preserve"> </w:t>
      </w:r>
      <w:proofErr w:type="spellStart"/>
      <w:r>
        <w:rPr>
          <w:rFonts w:cstheme="minorHAnsi"/>
          <w:shd w:val="clear" w:color="auto" w:fill="FFFFFF"/>
        </w:rPr>
        <w:t>Hachten</w:t>
      </w:r>
      <w:proofErr w:type="spellEnd"/>
      <w:r>
        <w:rPr>
          <w:rFonts w:cstheme="minorHAnsi"/>
          <w:shd w:val="clear" w:color="auto" w:fill="FFFFFF"/>
        </w:rPr>
        <w:t>,</w:t>
      </w:r>
      <w:r w:rsidRPr="00542F3A">
        <w:rPr>
          <w:rFonts w:cstheme="minorHAnsi"/>
          <w:shd w:val="clear" w:color="auto" w:fill="FFFFFF"/>
        </w:rPr>
        <w:t xml:space="preserve"> "Property Relations and the Economic Organization of Soviet Russia, 1941–1948" </w:t>
      </w:r>
      <w:r w:rsidR="00145D1A">
        <w:rPr>
          <w:rFonts w:cstheme="minorHAnsi"/>
          <w:shd w:val="clear" w:color="auto" w:fill="FFFFFF"/>
        </w:rPr>
        <w:t>(</w:t>
      </w:r>
      <w:r w:rsidRPr="00542F3A">
        <w:rPr>
          <w:rFonts w:cstheme="minorHAnsi"/>
          <w:shd w:val="clear" w:color="auto" w:fill="FFFFFF"/>
        </w:rPr>
        <w:t xml:space="preserve">PhD diss., </w:t>
      </w:r>
      <w:proofErr w:type="gramStart"/>
      <w:r w:rsidRPr="00542F3A">
        <w:rPr>
          <w:rFonts w:cstheme="minorHAnsi"/>
          <w:shd w:val="clear" w:color="auto" w:fill="FFFFFF"/>
        </w:rPr>
        <w:t>The</w:t>
      </w:r>
      <w:proofErr w:type="gramEnd"/>
      <w:r w:rsidRPr="00542F3A">
        <w:rPr>
          <w:rFonts w:cstheme="minorHAnsi"/>
          <w:shd w:val="clear" w:color="auto" w:fill="FFFFFF"/>
        </w:rPr>
        <w:t xml:space="preserve"> University of Chicago, 2005</w:t>
      </w:r>
      <w:r w:rsidR="00145D1A">
        <w:rPr>
          <w:rFonts w:cstheme="minorHAnsi"/>
          <w:shd w:val="clear" w:color="auto" w:fill="FFFFFF"/>
        </w:rPr>
        <w:t>)</w:t>
      </w:r>
      <w:r>
        <w:rPr>
          <w:rFonts w:cstheme="minorHAnsi"/>
          <w:shd w:val="clear" w:color="auto" w:fill="FFFFFF"/>
        </w:rPr>
        <w:t>,</w:t>
      </w:r>
      <w:r w:rsidR="00145D1A">
        <w:rPr>
          <w:rFonts w:cstheme="minorHAnsi"/>
          <w:shd w:val="clear" w:color="auto" w:fill="FFFFFF"/>
        </w:rPr>
        <w:t xml:space="preserve"> </w:t>
      </w:r>
      <w:r>
        <w:t>152, 155, 172.</w:t>
      </w:r>
    </w:p>
  </w:footnote>
  <w:footnote w:id="9">
    <w:p w14:paraId="150B9C35" w14:textId="2374E605" w:rsidR="00C363E7" w:rsidRDefault="00C363E7" w:rsidP="00EB55D7">
      <w:pPr>
        <w:pStyle w:val="FootnoteText"/>
        <w:ind w:firstLine="720"/>
      </w:pPr>
      <w:r>
        <w:rPr>
          <w:rStyle w:val="FootnoteReference"/>
        </w:rPr>
        <w:footnoteRef/>
      </w:r>
      <w:r>
        <w:t xml:space="preserve"> Peter </w:t>
      </w:r>
      <w:proofErr w:type="spellStart"/>
      <w:r>
        <w:t>Gatrell</w:t>
      </w:r>
      <w:proofErr w:type="spellEnd"/>
      <w:r>
        <w:t>, “Feet of Clay,” 299.</w:t>
      </w:r>
    </w:p>
  </w:footnote>
  <w:footnote w:id="10">
    <w:p w14:paraId="79745752" w14:textId="56A902F1" w:rsidR="00C363E7" w:rsidRDefault="00C363E7" w:rsidP="00EB55D7">
      <w:pPr>
        <w:pStyle w:val="FootnoteText"/>
        <w:ind w:firstLine="720"/>
      </w:pPr>
      <w:r>
        <w:rPr>
          <w:rStyle w:val="FootnoteReference"/>
        </w:rPr>
        <w:footnoteRef/>
      </w:r>
      <w:r>
        <w:t xml:space="preserve"> </w:t>
      </w:r>
      <w:proofErr w:type="gramStart"/>
      <w:r>
        <w:t>Ibid.,</w:t>
      </w:r>
      <w:proofErr w:type="gramEnd"/>
      <w:r>
        <w:t xml:space="preserve"> 300.</w:t>
      </w:r>
    </w:p>
  </w:footnote>
  <w:footnote w:id="11">
    <w:p w14:paraId="7F46DC39" w14:textId="4686D439" w:rsidR="00C363E7" w:rsidRDefault="00C363E7" w:rsidP="00EB55D7">
      <w:pPr>
        <w:pStyle w:val="FootnoteText"/>
        <w:ind w:firstLine="720"/>
      </w:pPr>
      <w:r>
        <w:rPr>
          <w:rStyle w:val="FootnoteReference"/>
        </w:rPr>
        <w:footnoteRef/>
      </w:r>
      <w:r>
        <w:t xml:space="preserve"> </w:t>
      </w:r>
      <w:proofErr w:type="spellStart"/>
      <w:r>
        <w:rPr>
          <w:rFonts w:cstheme="minorHAnsi"/>
          <w:shd w:val="clear" w:color="auto" w:fill="FFFFFF"/>
        </w:rPr>
        <w:t>Hachten</w:t>
      </w:r>
      <w:proofErr w:type="spellEnd"/>
      <w:r>
        <w:rPr>
          <w:rFonts w:cstheme="minorHAnsi"/>
          <w:shd w:val="clear" w:color="auto" w:fill="FFFFFF"/>
        </w:rPr>
        <w:t>,</w:t>
      </w:r>
      <w:r w:rsidRPr="00542F3A">
        <w:rPr>
          <w:rFonts w:cstheme="minorHAnsi"/>
          <w:shd w:val="clear" w:color="auto" w:fill="FFFFFF"/>
        </w:rPr>
        <w:t xml:space="preserve"> "Property Relations</w:t>
      </w:r>
      <w:r>
        <w:rPr>
          <w:rFonts w:cstheme="minorHAnsi"/>
          <w:shd w:val="clear" w:color="auto" w:fill="FFFFFF"/>
        </w:rPr>
        <w:t>,”</w:t>
      </w:r>
      <w:r w:rsidRPr="00542F3A">
        <w:rPr>
          <w:rFonts w:cstheme="minorHAnsi"/>
          <w:shd w:val="clear" w:color="auto" w:fill="FFFFFF"/>
        </w:rPr>
        <w:t xml:space="preserve"> </w:t>
      </w:r>
      <w:r>
        <w:rPr>
          <w:rFonts w:cstheme="minorHAnsi"/>
          <w:shd w:val="clear" w:color="auto" w:fill="FFFFFF"/>
        </w:rPr>
        <w:t>155.</w:t>
      </w:r>
    </w:p>
  </w:footnote>
  <w:footnote w:id="12">
    <w:p w14:paraId="5C7B653A" w14:textId="0E7D095C" w:rsidR="00C363E7" w:rsidRDefault="00C363E7" w:rsidP="00EB55D7">
      <w:pPr>
        <w:pStyle w:val="FootnoteText"/>
        <w:ind w:firstLine="720"/>
      </w:pPr>
      <w:r>
        <w:rPr>
          <w:rStyle w:val="FootnoteReference"/>
        </w:rPr>
        <w:footnoteRef/>
      </w:r>
      <w:r>
        <w:t xml:space="preserve"> Rebecca Manley, </w:t>
      </w:r>
      <w:r>
        <w:rPr>
          <w:i/>
          <w:iCs/>
        </w:rPr>
        <w:t xml:space="preserve">To the Tashkent Station Evacuation and Survival in the Soviet Union at War </w:t>
      </w:r>
      <w:r>
        <w:t>(Ithaca: Cornell University Press, 2009), 14-15.</w:t>
      </w:r>
    </w:p>
  </w:footnote>
  <w:footnote w:id="13">
    <w:p w14:paraId="04E738EB" w14:textId="3D885B82" w:rsidR="00C363E7" w:rsidRDefault="00C363E7" w:rsidP="00EB55D7">
      <w:pPr>
        <w:pStyle w:val="FootnoteText"/>
        <w:ind w:firstLine="720"/>
      </w:pPr>
      <w:r>
        <w:rPr>
          <w:rStyle w:val="FootnoteReference"/>
        </w:rPr>
        <w:footnoteRef/>
      </w:r>
      <w:r>
        <w:t xml:space="preserve"> Manley, </w:t>
      </w:r>
      <w:r>
        <w:rPr>
          <w:i/>
          <w:iCs/>
        </w:rPr>
        <w:t>To the Tashkent Station</w:t>
      </w:r>
      <w:r>
        <w:t>, 238-39.</w:t>
      </w:r>
    </w:p>
  </w:footnote>
  <w:footnote w:id="14">
    <w:p w14:paraId="357F307E" w14:textId="332B6B09" w:rsidR="00C363E7" w:rsidRDefault="00C363E7" w:rsidP="00EB55D7">
      <w:pPr>
        <w:pStyle w:val="FootnoteText"/>
        <w:ind w:firstLine="720"/>
      </w:pPr>
      <w:r>
        <w:rPr>
          <w:rStyle w:val="FootnoteReference"/>
        </w:rPr>
        <w:footnoteRef/>
      </w:r>
      <w:r>
        <w:t xml:space="preserve"> </w:t>
      </w:r>
      <w:proofErr w:type="spellStart"/>
      <w:r>
        <w:t>Hachten</w:t>
      </w:r>
      <w:proofErr w:type="spellEnd"/>
      <w:r>
        <w:t>, “Property Relations,” 163.</w:t>
      </w:r>
    </w:p>
  </w:footnote>
  <w:footnote w:id="15">
    <w:p w14:paraId="6B741030" w14:textId="5988FB74" w:rsidR="00C363E7" w:rsidRDefault="00C363E7" w:rsidP="00EB55D7">
      <w:pPr>
        <w:pStyle w:val="FootnoteText"/>
        <w:ind w:firstLine="720"/>
      </w:pPr>
      <w:r>
        <w:rPr>
          <w:rStyle w:val="FootnoteReference"/>
        </w:rPr>
        <w:footnoteRef/>
      </w:r>
      <w:r>
        <w:t xml:space="preserve"> Dalia </w:t>
      </w:r>
      <w:proofErr w:type="spellStart"/>
      <w:r>
        <w:t>Leinarte</w:t>
      </w:r>
      <w:proofErr w:type="spellEnd"/>
      <w:r>
        <w:t xml:space="preserve">, “Victims and Collective Trauma: Surviving mass repression and living through the Soviet period,” in </w:t>
      </w:r>
      <w:r>
        <w:rPr>
          <w:i/>
          <w:iCs/>
        </w:rPr>
        <w:t>Women’s Experiences of Repression in the Soviet Union and Eastern Europe</w:t>
      </w:r>
      <w:r>
        <w:t xml:space="preserve"> (New York: Routledge, 2018), 2.</w:t>
      </w:r>
    </w:p>
  </w:footnote>
  <w:footnote w:id="16">
    <w:p w14:paraId="5E9DE70A" w14:textId="77237BD6" w:rsidR="00C363E7" w:rsidRDefault="00C363E7" w:rsidP="00EB55D7">
      <w:pPr>
        <w:pStyle w:val="FootnoteText"/>
        <w:ind w:firstLine="720"/>
      </w:pPr>
      <w:r>
        <w:rPr>
          <w:rStyle w:val="FootnoteReference"/>
        </w:rPr>
        <w:footnoteRef/>
      </w:r>
      <w:r>
        <w:t xml:space="preserve"> Rebecca Manley, </w:t>
      </w:r>
      <w:r>
        <w:rPr>
          <w:i/>
          <w:iCs/>
        </w:rPr>
        <w:t>To the Tashkent Station</w:t>
      </w:r>
      <w:r>
        <w:t>, 14-15.</w:t>
      </w:r>
    </w:p>
  </w:footnote>
  <w:footnote w:id="17">
    <w:p w14:paraId="6AB55029" w14:textId="2752B3C2" w:rsidR="00C363E7" w:rsidRDefault="00C363E7" w:rsidP="00EB55D7">
      <w:pPr>
        <w:pStyle w:val="FootnoteText"/>
        <w:ind w:firstLine="720"/>
      </w:pPr>
      <w:r>
        <w:rPr>
          <w:rStyle w:val="FootnoteReference"/>
        </w:rPr>
        <w:footnoteRef/>
      </w:r>
      <w:r>
        <w:t xml:space="preserve"> </w:t>
      </w:r>
      <w:proofErr w:type="gramStart"/>
      <w:r>
        <w:t>Ibid.,</w:t>
      </w:r>
      <w:proofErr w:type="gramEnd"/>
      <w:r>
        <w:t xml:space="preserve"> 18.</w:t>
      </w:r>
    </w:p>
  </w:footnote>
  <w:footnote w:id="18">
    <w:p w14:paraId="48D11374" w14:textId="2AC6EC6C" w:rsidR="00C363E7" w:rsidRPr="00512232" w:rsidRDefault="00C363E7" w:rsidP="00EB55D7">
      <w:pPr>
        <w:pStyle w:val="FootnoteText"/>
        <w:ind w:firstLine="720"/>
        <w:rPr>
          <w:rFonts w:cstheme="minorHAnsi"/>
          <w:sz w:val="16"/>
          <w:szCs w:val="16"/>
        </w:rPr>
      </w:pPr>
      <w:r>
        <w:rPr>
          <w:rStyle w:val="FootnoteReference"/>
        </w:rPr>
        <w:footnoteRef/>
      </w:r>
      <w:r>
        <w:t xml:space="preserve"> Dalia </w:t>
      </w:r>
      <w:proofErr w:type="spellStart"/>
      <w:r>
        <w:t>Budryt</w:t>
      </w:r>
      <w:r w:rsidRPr="00BF4DC1">
        <w:rPr>
          <w:rFonts w:cstheme="minorHAnsi"/>
          <w:color w:val="000000"/>
          <w:shd w:val="clear" w:color="auto" w:fill="FFFFFF"/>
        </w:rPr>
        <w:t>ė</w:t>
      </w:r>
      <w:proofErr w:type="spellEnd"/>
      <w:r>
        <w:rPr>
          <w:rFonts w:cstheme="minorHAnsi"/>
          <w:color w:val="000000"/>
          <w:shd w:val="clear" w:color="auto" w:fill="FFFFFF"/>
        </w:rPr>
        <w:t xml:space="preserve">, “’We Didn’t Keep Diaries, You Know’: Memories of Trauma and Violence in the Narratives of Two Former Women Resistance Fighters,” </w:t>
      </w:r>
      <w:r>
        <w:rPr>
          <w:rFonts w:cstheme="minorHAnsi"/>
          <w:i/>
          <w:iCs/>
          <w:color w:val="000000"/>
          <w:shd w:val="clear" w:color="auto" w:fill="FFFFFF"/>
        </w:rPr>
        <w:t>Lithuanian Quarterly Journal of Arts and Sciences</w:t>
      </w:r>
      <w:r>
        <w:rPr>
          <w:rFonts w:cstheme="minorHAnsi"/>
          <w:color w:val="000000"/>
          <w:shd w:val="clear" w:color="auto" w:fill="FFFFFF"/>
        </w:rPr>
        <w:t xml:space="preserve"> 57, no. 2 (2011): </w:t>
      </w:r>
      <w:r w:rsidRPr="00512232">
        <w:rPr>
          <w:rFonts w:cstheme="minorHAnsi"/>
        </w:rPr>
        <w:t>http://www.lituanus.org/2011/11_2_05Budryte.html</w:t>
      </w:r>
      <w:r>
        <w:rPr>
          <w:rFonts w:cstheme="minorHAnsi"/>
        </w:rPr>
        <w:t>.</w:t>
      </w:r>
    </w:p>
  </w:footnote>
  <w:footnote w:id="19">
    <w:p w14:paraId="17E42BD3" w14:textId="23B605D3" w:rsidR="00C363E7" w:rsidRDefault="00C363E7" w:rsidP="00EB55D7">
      <w:pPr>
        <w:pStyle w:val="FootnoteText"/>
        <w:ind w:firstLine="720"/>
      </w:pPr>
      <w:r>
        <w:rPr>
          <w:rStyle w:val="FootnoteReference"/>
        </w:rPr>
        <w:footnoteRef/>
      </w:r>
      <w:r>
        <w:t xml:space="preserve"> </w:t>
      </w:r>
      <w:proofErr w:type="spellStart"/>
      <w:r>
        <w:t>Hachten</w:t>
      </w:r>
      <w:proofErr w:type="spellEnd"/>
      <w:r>
        <w:t>, “Property Relations,” 141.</w:t>
      </w:r>
    </w:p>
  </w:footnote>
  <w:footnote w:id="20">
    <w:p w14:paraId="2771F999" w14:textId="617924E1" w:rsidR="00C363E7" w:rsidRDefault="00C363E7" w:rsidP="00EB55D7">
      <w:pPr>
        <w:pStyle w:val="FootnoteText"/>
        <w:ind w:firstLine="720"/>
      </w:pPr>
      <w:r>
        <w:rPr>
          <w:rStyle w:val="FootnoteReference"/>
        </w:rPr>
        <w:footnoteRef/>
      </w:r>
      <w:r>
        <w:t xml:space="preserve"> </w:t>
      </w:r>
      <w:r w:rsidR="00EB55D7">
        <w:t>A</w:t>
      </w:r>
      <w:r>
        <w:t xml:space="preserve">lexis </w:t>
      </w:r>
      <w:proofErr w:type="spellStart"/>
      <w:r>
        <w:t>Peri</w:t>
      </w:r>
      <w:proofErr w:type="spellEnd"/>
      <w:r>
        <w:t xml:space="preserve">, </w:t>
      </w:r>
      <w:proofErr w:type="gramStart"/>
      <w:r>
        <w:rPr>
          <w:i/>
          <w:iCs/>
        </w:rPr>
        <w:t>The</w:t>
      </w:r>
      <w:proofErr w:type="gramEnd"/>
      <w:r>
        <w:rPr>
          <w:i/>
          <w:iCs/>
        </w:rPr>
        <w:t xml:space="preserve"> War Within: Diaries from the Siege of Leningrad</w:t>
      </w:r>
      <w:r>
        <w:t xml:space="preserve"> (Cambridge: Harvard University Press, </w:t>
      </w:r>
      <w:r w:rsidR="008E1E3C">
        <w:rPr>
          <w:rFonts w:cstheme="minorHAnsi"/>
        </w:rPr>
        <w:t>2017),</w:t>
      </w:r>
      <w:r w:rsidRPr="008E1E3C">
        <w:t xml:space="preserve"> </w:t>
      </w:r>
      <w:r>
        <w:t>23.</w:t>
      </w:r>
    </w:p>
  </w:footnote>
  <w:footnote w:id="21">
    <w:p w14:paraId="5A81220C" w14:textId="190A230E" w:rsidR="00C363E7" w:rsidRDefault="00C363E7" w:rsidP="00EB55D7">
      <w:pPr>
        <w:pStyle w:val="FootnoteText"/>
        <w:ind w:firstLine="720"/>
      </w:pPr>
      <w:r>
        <w:rPr>
          <w:rStyle w:val="FootnoteReference"/>
        </w:rPr>
        <w:footnoteRef/>
      </w:r>
      <w:r>
        <w:t xml:space="preserve"> </w:t>
      </w:r>
      <w:proofErr w:type="spellStart"/>
      <w:r>
        <w:t>Hachten</w:t>
      </w:r>
      <w:proofErr w:type="spellEnd"/>
      <w:r>
        <w:t>, “Property Relations,” 157.</w:t>
      </w:r>
    </w:p>
  </w:footnote>
  <w:footnote w:id="22">
    <w:p w14:paraId="2703FA6E" w14:textId="573F6CD6" w:rsidR="00C363E7" w:rsidRDefault="00C363E7" w:rsidP="00EB55D7">
      <w:pPr>
        <w:pStyle w:val="FootnoteText"/>
        <w:ind w:firstLine="720"/>
      </w:pPr>
      <w:r>
        <w:rPr>
          <w:rStyle w:val="FootnoteReference"/>
        </w:rPr>
        <w:footnoteRef/>
      </w:r>
      <w:r>
        <w:t xml:space="preserve"> </w:t>
      </w:r>
      <w:proofErr w:type="gramStart"/>
      <w:r>
        <w:t>Ibid.,</w:t>
      </w:r>
      <w:proofErr w:type="gramEnd"/>
      <w:r>
        <w:t xml:space="preserve"> 140-141.</w:t>
      </w:r>
    </w:p>
  </w:footnote>
  <w:footnote w:id="23">
    <w:p w14:paraId="5EAB2028" w14:textId="7804C332" w:rsidR="00C363E7" w:rsidRDefault="00C363E7" w:rsidP="00682C4B">
      <w:pPr>
        <w:pStyle w:val="FootnoteText"/>
        <w:ind w:firstLine="720"/>
      </w:pPr>
      <w:r>
        <w:rPr>
          <w:rStyle w:val="FootnoteReference"/>
        </w:rPr>
        <w:footnoteRef/>
      </w:r>
      <w:r>
        <w:t xml:space="preserve"> Edward D. Cohn, “Sex and the Married Communist: Family Troubles, Marital Infidelity, and Party Discipline in the Postwar USSR, 1945-1964,” </w:t>
      </w:r>
      <w:r>
        <w:rPr>
          <w:i/>
          <w:iCs/>
        </w:rPr>
        <w:t xml:space="preserve">The Russian Review </w:t>
      </w:r>
      <w:r>
        <w:t>68, no. 3 (2009): 430-31.</w:t>
      </w:r>
    </w:p>
  </w:footnote>
  <w:footnote w:id="24">
    <w:p w14:paraId="65FD8255" w14:textId="69C14BB3" w:rsidR="00C363E7" w:rsidRDefault="00C363E7" w:rsidP="00682C4B">
      <w:pPr>
        <w:pStyle w:val="FootnoteText"/>
        <w:ind w:firstLine="720"/>
      </w:pPr>
      <w:r>
        <w:rPr>
          <w:rStyle w:val="FootnoteReference"/>
        </w:rPr>
        <w:footnoteRef/>
      </w:r>
      <w:r>
        <w:t xml:space="preserve"> </w:t>
      </w:r>
      <w:proofErr w:type="spellStart"/>
      <w:r>
        <w:t>Beate</w:t>
      </w:r>
      <w:proofErr w:type="spellEnd"/>
      <w:r>
        <w:t xml:space="preserve"> </w:t>
      </w:r>
      <w:proofErr w:type="spellStart"/>
      <w:r>
        <w:t>Fiesler</w:t>
      </w:r>
      <w:proofErr w:type="spellEnd"/>
      <w:r>
        <w:t xml:space="preserve"> and Roger </w:t>
      </w:r>
      <w:proofErr w:type="spellStart"/>
      <w:r>
        <w:t>Markwick</w:t>
      </w:r>
      <w:proofErr w:type="spellEnd"/>
      <w:r>
        <w:t xml:space="preserve">, “The Rear Area in the Great Patriotic War (1941-1945): Red Army Men’s Wives and Families Struggles for Survival in Yaroslavl,” </w:t>
      </w:r>
      <w:proofErr w:type="spellStart"/>
      <w:r>
        <w:rPr>
          <w:i/>
          <w:iCs/>
        </w:rPr>
        <w:t>Bylyle</w:t>
      </w:r>
      <w:proofErr w:type="spellEnd"/>
      <w:r>
        <w:rPr>
          <w:i/>
          <w:iCs/>
        </w:rPr>
        <w:t xml:space="preserve"> </w:t>
      </w:r>
      <w:proofErr w:type="spellStart"/>
      <w:r>
        <w:rPr>
          <w:i/>
          <w:iCs/>
        </w:rPr>
        <w:t>Gody</w:t>
      </w:r>
      <w:proofErr w:type="spellEnd"/>
      <w:r>
        <w:t xml:space="preserve"> 28, no. 2 (2013): 58.</w:t>
      </w:r>
    </w:p>
  </w:footnote>
  <w:footnote w:id="25">
    <w:p w14:paraId="497DF4FC" w14:textId="3781F9A7" w:rsidR="00C363E7" w:rsidRDefault="00C363E7" w:rsidP="00682C4B">
      <w:pPr>
        <w:pStyle w:val="FootnoteText"/>
        <w:ind w:firstLine="720"/>
      </w:pPr>
      <w:r>
        <w:rPr>
          <w:rStyle w:val="FootnoteReference"/>
        </w:rPr>
        <w:footnoteRef/>
      </w:r>
      <w:r>
        <w:t xml:space="preserve"> </w:t>
      </w:r>
      <w:proofErr w:type="spellStart"/>
      <w:r>
        <w:t>Golfo</w:t>
      </w:r>
      <w:proofErr w:type="spellEnd"/>
      <w:r>
        <w:t xml:space="preserve"> </w:t>
      </w:r>
      <w:proofErr w:type="spellStart"/>
      <w:r>
        <w:t>Alexopoulos</w:t>
      </w:r>
      <w:proofErr w:type="spellEnd"/>
      <w:r>
        <w:t xml:space="preserve">, “Stalin and the Politics of Kinship: Practices of Collective Punishment, 1920s-1940s,” </w:t>
      </w:r>
      <w:r>
        <w:rPr>
          <w:i/>
          <w:iCs/>
        </w:rPr>
        <w:t>Comparative Studies in Society and History</w:t>
      </w:r>
      <w:r>
        <w:t xml:space="preserve"> 50, no. 1 (2008): 93.</w:t>
      </w:r>
    </w:p>
  </w:footnote>
  <w:footnote w:id="26">
    <w:p w14:paraId="002C35ED" w14:textId="10535D87" w:rsidR="00C363E7" w:rsidRDefault="00C363E7" w:rsidP="00682C4B">
      <w:pPr>
        <w:pStyle w:val="FootnoteText"/>
        <w:ind w:firstLine="720"/>
      </w:pPr>
      <w:r>
        <w:rPr>
          <w:rStyle w:val="FootnoteReference"/>
        </w:rPr>
        <w:footnoteRef/>
      </w:r>
      <w:r>
        <w:t xml:space="preserve"> </w:t>
      </w:r>
      <w:proofErr w:type="gramStart"/>
      <w:r>
        <w:t>Ibid.,</w:t>
      </w:r>
      <w:proofErr w:type="gramEnd"/>
      <w:r>
        <w:t xml:space="preserve"> 114.</w:t>
      </w:r>
    </w:p>
  </w:footnote>
  <w:footnote w:id="27">
    <w:p w14:paraId="3B1D786D" w14:textId="3BB8630B" w:rsidR="00C363E7" w:rsidRDefault="00C363E7" w:rsidP="00682C4B">
      <w:pPr>
        <w:pStyle w:val="FootnoteText"/>
        <w:ind w:firstLine="720"/>
      </w:pPr>
      <w:r>
        <w:rPr>
          <w:rStyle w:val="FootnoteReference"/>
        </w:rPr>
        <w:footnoteRef/>
      </w:r>
      <w:r>
        <w:t xml:space="preserve"> </w:t>
      </w:r>
      <w:proofErr w:type="spellStart"/>
      <w:r>
        <w:t>Hachten</w:t>
      </w:r>
      <w:proofErr w:type="spellEnd"/>
      <w:r>
        <w:t>, “Property Relations,” 142.</w:t>
      </w:r>
    </w:p>
  </w:footnote>
  <w:footnote w:id="28">
    <w:p w14:paraId="74A1B155" w14:textId="1ACFEC3F" w:rsidR="00C363E7" w:rsidRDefault="00C363E7" w:rsidP="00682C4B">
      <w:pPr>
        <w:pStyle w:val="FootnoteText"/>
        <w:ind w:firstLine="720"/>
      </w:pPr>
      <w:r>
        <w:rPr>
          <w:rStyle w:val="FootnoteReference"/>
        </w:rPr>
        <w:footnoteRef/>
      </w:r>
      <w:r>
        <w:t xml:space="preserve"> </w:t>
      </w:r>
      <w:proofErr w:type="gramStart"/>
      <w:r>
        <w:t>Ibid.,</w:t>
      </w:r>
      <w:proofErr w:type="gramEnd"/>
      <w:r>
        <w:t xml:space="preserve"> 143.</w:t>
      </w:r>
    </w:p>
  </w:footnote>
  <w:footnote w:id="29">
    <w:p w14:paraId="7A1CF9E5" w14:textId="35A6FCD6" w:rsidR="00C363E7" w:rsidRDefault="00C363E7" w:rsidP="00682C4B">
      <w:pPr>
        <w:pStyle w:val="FootnoteText"/>
        <w:ind w:firstLine="720"/>
      </w:pPr>
      <w:r>
        <w:rPr>
          <w:rStyle w:val="FootnoteReference"/>
        </w:rPr>
        <w:footnoteRef/>
      </w:r>
      <w:r>
        <w:t xml:space="preserve"> Corinna </w:t>
      </w:r>
      <w:proofErr w:type="spellStart"/>
      <w:r>
        <w:t>Kuhr</w:t>
      </w:r>
      <w:proofErr w:type="spellEnd"/>
      <w:r>
        <w:t xml:space="preserve">, “Children of ‘Enemies of the People’ as Victims of the Great Purges,” </w:t>
      </w:r>
      <w:r>
        <w:rPr>
          <w:i/>
          <w:iCs/>
        </w:rPr>
        <w:t xml:space="preserve">Cahiers Du Monde </w:t>
      </w:r>
      <w:proofErr w:type="spellStart"/>
      <w:r>
        <w:rPr>
          <w:i/>
          <w:iCs/>
        </w:rPr>
        <w:t>Russe</w:t>
      </w:r>
      <w:proofErr w:type="spellEnd"/>
      <w:r>
        <w:t xml:space="preserve"> 39, no. </w:t>
      </w:r>
      <w:r w:rsidR="008E1E3C">
        <w:t>1-2</w:t>
      </w:r>
      <w:r>
        <w:t xml:space="preserve"> (1998): 213.</w:t>
      </w:r>
    </w:p>
  </w:footnote>
  <w:footnote w:id="30">
    <w:p w14:paraId="44ABB54F" w14:textId="623E7050" w:rsidR="00C363E7" w:rsidRDefault="00C363E7" w:rsidP="00682C4B">
      <w:pPr>
        <w:pStyle w:val="FootnoteText"/>
        <w:ind w:firstLine="720"/>
      </w:pPr>
      <w:r>
        <w:rPr>
          <w:rStyle w:val="FootnoteReference"/>
        </w:rPr>
        <w:footnoteRef/>
      </w:r>
      <w:r>
        <w:t xml:space="preserve"> </w:t>
      </w:r>
      <w:proofErr w:type="gramStart"/>
      <w:r>
        <w:t>Ibid.,</w:t>
      </w:r>
      <w:proofErr w:type="gramEnd"/>
      <w:r>
        <w:t xml:space="preserve"> 214.</w:t>
      </w:r>
    </w:p>
  </w:footnote>
  <w:footnote w:id="31">
    <w:p w14:paraId="0A577FEE" w14:textId="10678D59" w:rsidR="00C363E7" w:rsidRDefault="00C363E7" w:rsidP="00682C4B">
      <w:pPr>
        <w:pStyle w:val="FootnoteText"/>
        <w:ind w:firstLine="720"/>
      </w:pPr>
      <w:r>
        <w:rPr>
          <w:rStyle w:val="FootnoteReference"/>
        </w:rPr>
        <w:footnoteRef/>
      </w:r>
      <w:r>
        <w:t xml:space="preserve"> Margaret K. </w:t>
      </w:r>
      <w:proofErr w:type="spellStart"/>
      <w:r>
        <w:t>Stolee</w:t>
      </w:r>
      <w:proofErr w:type="spellEnd"/>
      <w:r>
        <w:t xml:space="preserve">, “Homeless Children in the USSR, 1917-1957,” </w:t>
      </w:r>
      <w:r>
        <w:rPr>
          <w:i/>
          <w:iCs/>
        </w:rPr>
        <w:t>Soviet Studies</w:t>
      </w:r>
      <w:r>
        <w:t xml:space="preserve"> 40, no. 1 (1988): 76.</w:t>
      </w:r>
    </w:p>
  </w:footnote>
  <w:footnote w:id="32">
    <w:p w14:paraId="59D373F9" w14:textId="6FA65277" w:rsidR="00C363E7" w:rsidRDefault="00C363E7" w:rsidP="00682C4B">
      <w:pPr>
        <w:pStyle w:val="FootnoteText"/>
        <w:ind w:firstLine="720"/>
      </w:pPr>
      <w:r>
        <w:rPr>
          <w:rStyle w:val="FootnoteReference"/>
        </w:rPr>
        <w:footnoteRef/>
      </w:r>
      <w:r>
        <w:t xml:space="preserve"> </w:t>
      </w:r>
      <w:proofErr w:type="gramStart"/>
      <w:r>
        <w:t>Ibid.,</w:t>
      </w:r>
      <w:proofErr w:type="gramEnd"/>
      <w:r>
        <w:t xml:space="preserve"> 76.</w:t>
      </w:r>
    </w:p>
  </w:footnote>
  <w:footnote w:id="33">
    <w:p w14:paraId="2014FF3C" w14:textId="2BBC6C46" w:rsidR="00C363E7" w:rsidRDefault="00C363E7" w:rsidP="00682C4B">
      <w:pPr>
        <w:pStyle w:val="FootnoteText"/>
        <w:ind w:firstLine="720"/>
      </w:pPr>
      <w:r>
        <w:rPr>
          <w:rStyle w:val="FootnoteReference"/>
        </w:rPr>
        <w:footnoteRef/>
      </w:r>
      <w:r>
        <w:t xml:space="preserve"> </w:t>
      </w:r>
      <w:proofErr w:type="spellStart"/>
      <w:r>
        <w:t>Peri</w:t>
      </w:r>
      <w:proofErr w:type="spellEnd"/>
      <w:r>
        <w:t xml:space="preserve">, </w:t>
      </w:r>
      <w:proofErr w:type="gramStart"/>
      <w:r>
        <w:rPr>
          <w:i/>
          <w:iCs/>
        </w:rPr>
        <w:t>The</w:t>
      </w:r>
      <w:proofErr w:type="gramEnd"/>
      <w:r>
        <w:rPr>
          <w:i/>
          <w:iCs/>
        </w:rPr>
        <w:t xml:space="preserve"> War Within</w:t>
      </w:r>
      <w:r>
        <w:t>, 72.</w:t>
      </w:r>
    </w:p>
  </w:footnote>
  <w:footnote w:id="34">
    <w:p w14:paraId="60906A3A" w14:textId="769273A5" w:rsidR="00C363E7" w:rsidRDefault="00C363E7" w:rsidP="00682C4B">
      <w:pPr>
        <w:pStyle w:val="FootnoteText"/>
        <w:ind w:firstLine="720"/>
      </w:pPr>
      <w:r>
        <w:rPr>
          <w:rStyle w:val="FootnoteReference"/>
        </w:rPr>
        <w:footnoteRef/>
      </w:r>
      <w:r>
        <w:t xml:space="preserve"> </w:t>
      </w:r>
      <w:proofErr w:type="spellStart"/>
      <w:r>
        <w:t>Hachten</w:t>
      </w:r>
      <w:proofErr w:type="spellEnd"/>
      <w:r>
        <w:t>, “Property Relations,” 143.</w:t>
      </w:r>
    </w:p>
  </w:footnote>
  <w:footnote w:id="35">
    <w:p w14:paraId="1F480D36" w14:textId="5E8B9BE4" w:rsidR="00C363E7" w:rsidRDefault="00C363E7" w:rsidP="00682C4B">
      <w:pPr>
        <w:pStyle w:val="FootnoteText"/>
        <w:ind w:firstLine="720"/>
      </w:pPr>
      <w:r>
        <w:rPr>
          <w:rStyle w:val="FootnoteReference"/>
        </w:rPr>
        <w:footnoteRef/>
      </w:r>
      <w:r>
        <w:t xml:space="preserve"> </w:t>
      </w:r>
      <w:proofErr w:type="gramStart"/>
      <w:r>
        <w:t>Ibid.,</w:t>
      </w:r>
      <w:proofErr w:type="gramEnd"/>
      <w:r>
        <w:t xml:space="preserve"> 144.</w:t>
      </w:r>
    </w:p>
  </w:footnote>
  <w:footnote w:id="36">
    <w:p w14:paraId="2A2F97CD" w14:textId="2CE860B5" w:rsidR="00C363E7" w:rsidRDefault="00C363E7" w:rsidP="00682C4B">
      <w:pPr>
        <w:pStyle w:val="FootnoteText"/>
        <w:ind w:firstLine="720"/>
      </w:pPr>
      <w:r>
        <w:rPr>
          <w:rStyle w:val="FootnoteReference"/>
        </w:rPr>
        <w:footnoteRef/>
      </w:r>
      <w:r>
        <w:t xml:space="preserve"> </w:t>
      </w:r>
      <w:proofErr w:type="gramStart"/>
      <w:r>
        <w:t>Ibid.,</w:t>
      </w:r>
      <w:proofErr w:type="gramEnd"/>
      <w:r>
        <w:t xml:space="preserve"> 149.</w:t>
      </w:r>
    </w:p>
  </w:footnote>
  <w:footnote w:id="37">
    <w:p w14:paraId="7EDF5C60" w14:textId="74DA9878" w:rsidR="00C363E7" w:rsidRPr="00924B63" w:rsidRDefault="00C363E7" w:rsidP="00682C4B">
      <w:pPr>
        <w:pStyle w:val="FootnoteText"/>
        <w:ind w:firstLine="720"/>
      </w:pPr>
      <w:r>
        <w:rPr>
          <w:rStyle w:val="FootnoteReference"/>
        </w:rPr>
        <w:footnoteRef/>
      </w:r>
      <w:r>
        <w:t xml:space="preserve"> </w:t>
      </w:r>
      <w:r w:rsidRPr="00504F13">
        <w:rPr>
          <w:rFonts w:cstheme="minorHAnsi"/>
          <w:color w:val="000000"/>
          <w:shd w:val="clear" w:color="auto" w:fill="FFFFFF"/>
        </w:rPr>
        <w:t>Geoff</w:t>
      </w:r>
      <w:r w:rsidR="009F23B3">
        <w:rPr>
          <w:rFonts w:cstheme="minorHAnsi"/>
          <w:color w:val="000000"/>
          <w:shd w:val="clear" w:color="auto" w:fill="FFFFFF"/>
        </w:rPr>
        <w:t>re</w:t>
      </w:r>
      <w:r w:rsidRPr="00504F13">
        <w:rPr>
          <w:rFonts w:cstheme="minorHAnsi"/>
          <w:color w:val="000000"/>
          <w:shd w:val="clear" w:color="auto" w:fill="FFFFFF"/>
        </w:rPr>
        <w:t>y</w:t>
      </w:r>
      <w:r>
        <w:rPr>
          <w:rFonts w:cstheme="minorHAnsi"/>
          <w:color w:val="000000"/>
          <w:shd w:val="clear" w:color="auto" w:fill="FFFFFF"/>
        </w:rPr>
        <w:t xml:space="preserve"> Hosking,</w:t>
      </w:r>
      <w:r w:rsidRPr="00504F13">
        <w:rPr>
          <w:rFonts w:cstheme="minorHAnsi"/>
          <w:color w:val="000000"/>
          <w:shd w:val="clear" w:color="auto" w:fill="FFFFFF"/>
        </w:rPr>
        <w:t xml:space="preserve"> </w:t>
      </w:r>
      <w:r w:rsidRPr="00466E22">
        <w:rPr>
          <w:rFonts w:cstheme="minorHAnsi"/>
          <w:i/>
          <w:iCs/>
          <w:color w:val="000000"/>
          <w:shd w:val="clear" w:color="auto" w:fill="FFFFFF"/>
        </w:rPr>
        <w:t>Rulers and Victims: The Russians in the Soviet Union</w:t>
      </w:r>
      <w:r w:rsidRPr="00504F13">
        <w:rPr>
          <w:rFonts w:cstheme="minorHAnsi"/>
          <w:color w:val="000000"/>
          <w:shd w:val="clear" w:color="auto" w:fill="FFFFFF"/>
        </w:rPr>
        <w:t xml:space="preserve"> </w:t>
      </w:r>
      <w:r>
        <w:rPr>
          <w:rFonts w:cstheme="minorHAnsi"/>
          <w:color w:val="000000"/>
          <w:shd w:val="clear" w:color="auto" w:fill="FFFFFF"/>
        </w:rPr>
        <w:t>(Cambridge:</w:t>
      </w:r>
      <w:r w:rsidR="009F23B3">
        <w:rPr>
          <w:rFonts w:cstheme="minorHAnsi"/>
          <w:color w:val="000000"/>
          <w:shd w:val="clear" w:color="auto" w:fill="FFFFFF"/>
        </w:rPr>
        <w:t xml:space="preserve"> </w:t>
      </w:r>
      <w:r>
        <w:rPr>
          <w:rFonts w:cstheme="minorHAnsi"/>
          <w:color w:val="000000"/>
          <w:shd w:val="clear" w:color="auto" w:fill="FFFFFF"/>
        </w:rPr>
        <w:t xml:space="preserve">The Belknap Press at Harvard University Press, 2006): </w:t>
      </w:r>
      <w:r w:rsidRPr="00504F13">
        <w:rPr>
          <w:rFonts w:cstheme="minorHAnsi"/>
          <w:color w:val="000000"/>
          <w:shd w:val="clear" w:color="auto" w:fill="FFFFFF"/>
        </w:rPr>
        <w:t>196</w:t>
      </w:r>
      <w:r>
        <w:rPr>
          <w:rFonts w:cstheme="minorHAnsi"/>
          <w:color w:val="000000"/>
          <w:shd w:val="clear" w:color="auto" w:fill="FFFFFF"/>
        </w:rPr>
        <w:t>.</w:t>
      </w:r>
      <w:r w:rsidR="00924B63">
        <w:rPr>
          <w:rFonts w:cstheme="minorHAnsi"/>
          <w:color w:val="000000"/>
          <w:shd w:val="clear" w:color="auto" w:fill="FFFFFF"/>
        </w:rPr>
        <w:t xml:space="preserve"> ; Maurine Weiner Greenwald, review of </w:t>
      </w:r>
      <w:r w:rsidR="00924B63">
        <w:rPr>
          <w:rFonts w:cstheme="minorHAnsi"/>
          <w:i/>
          <w:iCs/>
          <w:color w:val="000000"/>
          <w:shd w:val="clear" w:color="auto" w:fill="FFFFFF"/>
        </w:rPr>
        <w:t>The Home Front and Beyond: American Women in the 1940s</w:t>
      </w:r>
      <w:r w:rsidR="00924B63">
        <w:rPr>
          <w:rFonts w:cstheme="minorHAnsi"/>
          <w:color w:val="000000"/>
          <w:shd w:val="clear" w:color="auto" w:fill="FFFFFF"/>
        </w:rPr>
        <w:t xml:space="preserve">, by Susan M. Hartmann, </w:t>
      </w:r>
      <w:r w:rsidR="00924B63">
        <w:rPr>
          <w:rFonts w:cstheme="minorHAnsi"/>
          <w:i/>
          <w:iCs/>
          <w:color w:val="000000"/>
          <w:shd w:val="clear" w:color="auto" w:fill="FFFFFF"/>
        </w:rPr>
        <w:t>The Journal of American History</w:t>
      </w:r>
      <w:r w:rsidR="00924B63">
        <w:rPr>
          <w:rFonts w:cstheme="minorHAnsi"/>
          <w:color w:val="000000"/>
          <w:shd w:val="clear" w:color="auto" w:fill="FFFFFF"/>
        </w:rPr>
        <w:t>, 1983, 720.</w:t>
      </w:r>
    </w:p>
  </w:footnote>
  <w:footnote w:id="38">
    <w:p w14:paraId="59E7C4F6" w14:textId="5574761C" w:rsidR="00C363E7" w:rsidRDefault="00C363E7" w:rsidP="00682C4B">
      <w:pPr>
        <w:pStyle w:val="FootnoteText"/>
        <w:ind w:firstLine="720"/>
      </w:pPr>
      <w:r>
        <w:rPr>
          <w:rStyle w:val="FootnoteReference"/>
        </w:rPr>
        <w:footnoteRef/>
      </w:r>
      <w:r>
        <w:t xml:space="preserve"> Wendy Z. Goldman, </w:t>
      </w:r>
      <w:r>
        <w:rPr>
          <w:i/>
          <w:iCs/>
        </w:rPr>
        <w:t xml:space="preserve">Women at the Gates: Gender and Industry in Stalin’s Russia </w:t>
      </w:r>
      <w:r>
        <w:t>(New York: Cambr</w:t>
      </w:r>
      <w:r w:rsidR="009F23B3">
        <w:t>idg</w:t>
      </w:r>
      <w:r>
        <w:t>e University Press, 2002): 220.</w:t>
      </w:r>
    </w:p>
  </w:footnote>
  <w:footnote w:id="39">
    <w:p w14:paraId="2B7BF566" w14:textId="6FE3F938" w:rsidR="00C363E7" w:rsidRDefault="00C363E7" w:rsidP="00682C4B">
      <w:pPr>
        <w:pStyle w:val="FootnoteText"/>
        <w:ind w:firstLine="720"/>
      </w:pPr>
      <w:r>
        <w:rPr>
          <w:rStyle w:val="FootnoteReference"/>
        </w:rPr>
        <w:footnoteRef/>
      </w:r>
      <w:r>
        <w:t xml:space="preserve"> </w:t>
      </w:r>
      <w:proofErr w:type="gramStart"/>
      <w:r>
        <w:t>Ibid.,</w:t>
      </w:r>
      <w:proofErr w:type="gramEnd"/>
      <w:r>
        <w:t xml:space="preserve"> 215, 227.</w:t>
      </w:r>
    </w:p>
  </w:footnote>
  <w:footnote w:id="40">
    <w:p w14:paraId="4D821056" w14:textId="6B6B8650" w:rsidR="00C363E7" w:rsidRDefault="00C363E7" w:rsidP="00682C4B">
      <w:pPr>
        <w:pStyle w:val="FootnoteText"/>
        <w:ind w:firstLine="720"/>
      </w:pPr>
      <w:r>
        <w:rPr>
          <w:rStyle w:val="FootnoteReference"/>
        </w:rPr>
        <w:footnoteRef/>
      </w:r>
      <w:r>
        <w:t xml:space="preserve"> </w:t>
      </w:r>
      <w:proofErr w:type="spellStart"/>
      <w:r>
        <w:t>Peri</w:t>
      </w:r>
      <w:proofErr w:type="spellEnd"/>
      <w:r>
        <w:t xml:space="preserve">, </w:t>
      </w:r>
      <w:proofErr w:type="gramStart"/>
      <w:r>
        <w:rPr>
          <w:i/>
          <w:iCs/>
        </w:rPr>
        <w:t>The</w:t>
      </w:r>
      <w:proofErr w:type="gramEnd"/>
      <w:r>
        <w:rPr>
          <w:i/>
          <w:iCs/>
        </w:rPr>
        <w:t xml:space="preserve"> War Within</w:t>
      </w:r>
      <w:r>
        <w:t>, 45.</w:t>
      </w:r>
    </w:p>
  </w:footnote>
  <w:footnote w:id="41">
    <w:p w14:paraId="11B99B9F" w14:textId="0C9E781D" w:rsidR="00C363E7" w:rsidRDefault="00C363E7" w:rsidP="00682C4B">
      <w:pPr>
        <w:pStyle w:val="FootnoteText"/>
        <w:ind w:firstLine="720"/>
      </w:pPr>
      <w:r>
        <w:rPr>
          <w:rStyle w:val="FootnoteReference"/>
        </w:rPr>
        <w:footnoteRef/>
      </w:r>
      <w:r>
        <w:t xml:space="preserve"> </w:t>
      </w:r>
      <w:proofErr w:type="gramStart"/>
      <w:r>
        <w:t>Ibid.,</w:t>
      </w:r>
      <w:proofErr w:type="gramEnd"/>
      <w:r>
        <w:t xml:space="preserve"> 45.</w:t>
      </w:r>
    </w:p>
  </w:footnote>
  <w:footnote w:id="42">
    <w:p w14:paraId="1893D737" w14:textId="170C9131" w:rsidR="00C363E7" w:rsidRDefault="00C363E7" w:rsidP="00682C4B">
      <w:pPr>
        <w:pStyle w:val="FootnoteText"/>
        <w:ind w:firstLine="720"/>
      </w:pPr>
      <w:r>
        <w:rPr>
          <w:rStyle w:val="FootnoteReference"/>
        </w:rPr>
        <w:footnoteRef/>
      </w:r>
      <w:r>
        <w:t xml:space="preserve"> Hosking, </w:t>
      </w:r>
      <w:r w:rsidRPr="00C860FE">
        <w:rPr>
          <w:i/>
          <w:iCs/>
        </w:rPr>
        <w:t>Rulers and Victims</w:t>
      </w:r>
      <w:r>
        <w:t>, 195.</w:t>
      </w:r>
    </w:p>
  </w:footnote>
  <w:footnote w:id="43">
    <w:p w14:paraId="7AB41226" w14:textId="582ACE74" w:rsidR="00C363E7" w:rsidRDefault="00C363E7" w:rsidP="00682C4B">
      <w:pPr>
        <w:pStyle w:val="FootnoteText"/>
        <w:ind w:firstLine="720"/>
      </w:pPr>
      <w:r>
        <w:rPr>
          <w:rStyle w:val="FootnoteReference"/>
        </w:rPr>
        <w:footnoteRef/>
      </w:r>
      <w:r>
        <w:t xml:space="preserve"> </w:t>
      </w:r>
      <w:proofErr w:type="spellStart"/>
      <w:r>
        <w:t>Hachten</w:t>
      </w:r>
      <w:proofErr w:type="spellEnd"/>
      <w:r>
        <w:t>, “Property Relations,” 150.</w:t>
      </w:r>
    </w:p>
  </w:footnote>
  <w:footnote w:id="44">
    <w:p w14:paraId="69292C58" w14:textId="7ACF1741" w:rsidR="00C363E7" w:rsidRDefault="00C363E7" w:rsidP="00682C4B">
      <w:pPr>
        <w:pStyle w:val="FootnoteText"/>
        <w:ind w:firstLine="720"/>
      </w:pPr>
      <w:r>
        <w:rPr>
          <w:rStyle w:val="FootnoteReference"/>
        </w:rPr>
        <w:footnoteRef/>
      </w:r>
      <w:r>
        <w:t xml:space="preserve"> </w:t>
      </w:r>
      <w:proofErr w:type="spellStart"/>
      <w:r>
        <w:t>Fiesler</w:t>
      </w:r>
      <w:proofErr w:type="spellEnd"/>
      <w:r>
        <w:t xml:space="preserve"> and </w:t>
      </w:r>
      <w:proofErr w:type="spellStart"/>
      <w:r>
        <w:t>Markwick</w:t>
      </w:r>
      <w:proofErr w:type="spellEnd"/>
      <w:r>
        <w:t>, “The Rear Area in the Great Patriotic War,” 58.</w:t>
      </w:r>
    </w:p>
  </w:footnote>
  <w:footnote w:id="45">
    <w:p w14:paraId="7B3ADDB8" w14:textId="452F3144" w:rsidR="008B3468" w:rsidRPr="006A0D62" w:rsidRDefault="008B3468" w:rsidP="008B3468">
      <w:pPr>
        <w:pStyle w:val="FootnoteText"/>
        <w:ind w:firstLine="720"/>
      </w:pPr>
      <w:r>
        <w:rPr>
          <w:rStyle w:val="FootnoteReference"/>
        </w:rPr>
        <w:footnoteRef/>
      </w:r>
      <w:r>
        <w:t xml:space="preserve"> White, review of </w:t>
      </w:r>
      <w:r>
        <w:rPr>
          <w:i/>
          <w:iCs/>
        </w:rPr>
        <w:t>To the Tashkent Station</w:t>
      </w:r>
      <w:r>
        <w:t>, 93.</w:t>
      </w:r>
      <w:r w:rsidR="00B41CEF">
        <w:t xml:space="preserve"> ; Catherine </w:t>
      </w:r>
      <w:proofErr w:type="spellStart"/>
      <w:r w:rsidR="00B41CEF">
        <w:t>Merridale</w:t>
      </w:r>
      <w:proofErr w:type="spellEnd"/>
      <w:r w:rsidR="00B41CEF">
        <w:t xml:space="preserve">, </w:t>
      </w:r>
      <w:r w:rsidR="00B41CEF">
        <w:rPr>
          <w:i/>
          <w:iCs/>
        </w:rPr>
        <w:t>Ivan’s War: Life and Death in the Red Army, 1939-1945</w:t>
      </w:r>
      <w:r w:rsidR="00B41CEF">
        <w:t xml:space="preserve"> (New York: Picador, 2006).</w:t>
      </w:r>
      <w:r w:rsidR="006A0D62">
        <w:t xml:space="preserve"> ; David M. </w:t>
      </w:r>
      <w:proofErr w:type="spellStart"/>
      <w:r w:rsidR="006A0D62">
        <w:t>Glantz</w:t>
      </w:r>
      <w:proofErr w:type="spellEnd"/>
      <w:r w:rsidR="006A0D62">
        <w:t xml:space="preserve">, “The Failures of Historiography: Forgotten Battles of the German-Soviet War (1941-1945),” </w:t>
      </w:r>
      <w:r w:rsidR="006A0D62">
        <w:rPr>
          <w:i/>
          <w:iCs/>
        </w:rPr>
        <w:t xml:space="preserve">Journal of Slavic Military Studies </w:t>
      </w:r>
      <w:r w:rsidR="006A0D62">
        <w:t>8, no. 4 (1995)</w:t>
      </w:r>
      <w:r w:rsidR="007F6331">
        <w:t>: 768-809.</w:t>
      </w:r>
    </w:p>
  </w:footnote>
  <w:footnote w:id="46">
    <w:p w14:paraId="1C21B786" w14:textId="0DA53DCB" w:rsidR="00E36A98" w:rsidRPr="00E36A98" w:rsidRDefault="00E36A98" w:rsidP="00E36A98">
      <w:pPr>
        <w:pStyle w:val="FootnoteText"/>
        <w:ind w:firstLine="720"/>
      </w:pPr>
      <w:r>
        <w:rPr>
          <w:rStyle w:val="FootnoteReference"/>
        </w:rPr>
        <w:footnoteRef/>
      </w:r>
      <w:r>
        <w:t xml:space="preserve"> Goldman, </w:t>
      </w:r>
      <w:r>
        <w:rPr>
          <w:i/>
          <w:iCs/>
        </w:rPr>
        <w:t>Women at the Gates</w:t>
      </w:r>
      <w:r>
        <w:t>. ; Cohn, “Sex and the Married.”</w:t>
      </w:r>
    </w:p>
  </w:footnote>
  <w:footnote w:id="47">
    <w:p w14:paraId="7F294CB1" w14:textId="53A9BBC8" w:rsidR="00724BE2" w:rsidRDefault="00724BE2" w:rsidP="00724BE2">
      <w:pPr>
        <w:pStyle w:val="FootnoteText"/>
        <w:ind w:firstLine="720"/>
      </w:pPr>
      <w:r>
        <w:rPr>
          <w:rStyle w:val="FootnoteReference"/>
        </w:rPr>
        <w:footnoteRef/>
      </w:r>
      <w:r>
        <w:t xml:space="preserve"> </w:t>
      </w:r>
      <w:proofErr w:type="spellStart"/>
      <w:r>
        <w:t>Peri</w:t>
      </w:r>
      <w:proofErr w:type="spellEnd"/>
      <w:r>
        <w:t xml:space="preserve">, </w:t>
      </w:r>
      <w:proofErr w:type="gramStart"/>
      <w:r>
        <w:rPr>
          <w:i/>
          <w:iCs/>
        </w:rPr>
        <w:t>The</w:t>
      </w:r>
      <w:proofErr w:type="gramEnd"/>
      <w:r>
        <w:rPr>
          <w:i/>
          <w:iCs/>
        </w:rPr>
        <w:t xml:space="preserve"> War Within</w:t>
      </w:r>
      <w:r>
        <w:t>, 3-4.</w:t>
      </w:r>
    </w:p>
  </w:footnote>
  <w:footnote w:id="48">
    <w:p w14:paraId="0263E3A8" w14:textId="7466D8E9" w:rsidR="00724BE2" w:rsidRDefault="00724BE2" w:rsidP="00724BE2">
      <w:pPr>
        <w:pStyle w:val="FootnoteText"/>
        <w:ind w:firstLine="720"/>
      </w:pPr>
      <w:r>
        <w:rPr>
          <w:rStyle w:val="FootnoteReference"/>
        </w:rPr>
        <w:footnoteRef/>
      </w:r>
      <w:r>
        <w:t xml:space="preserve"> </w:t>
      </w:r>
      <w:proofErr w:type="spellStart"/>
      <w:r>
        <w:t>Peri</w:t>
      </w:r>
      <w:proofErr w:type="spellEnd"/>
      <w:r>
        <w:t xml:space="preserve">, </w:t>
      </w:r>
      <w:proofErr w:type="gramStart"/>
      <w:r>
        <w:rPr>
          <w:i/>
          <w:iCs/>
        </w:rPr>
        <w:t>The</w:t>
      </w:r>
      <w:proofErr w:type="gramEnd"/>
      <w:r>
        <w:rPr>
          <w:i/>
          <w:iCs/>
        </w:rPr>
        <w:t xml:space="preserve"> War Within</w:t>
      </w:r>
      <w:r>
        <w:t>, 89, 111, 149.</w:t>
      </w:r>
    </w:p>
  </w:footnote>
  <w:footnote w:id="49">
    <w:p w14:paraId="6B972593" w14:textId="75BC0914" w:rsidR="00C363E7" w:rsidRPr="00542F3A" w:rsidRDefault="00C363E7" w:rsidP="00682C4B">
      <w:pPr>
        <w:ind w:firstLine="720"/>
        <w:rPr>
          <w:rFonts w:cstheme="minorHAnsi"/>
          <w:sz w:val="20"/>
          <w:szCs w:val="20"/>
          <w:shd w:val="clear" w:color="auto" w:fill="FFFFFF"/>
        </w:rPr>
      </w:pPr>
      <w:r>
        <w:rPr>
          <w:rStyle w:val="FootnoteReference"/>
        </w:rPr>
        <w:footnoteRef/>
      </w:r>
      <w:r>
        <w:t xml:space="preserve"> </w:t>
      </w:r>
      <w:proofErr w:type="spellStart"/>
      <w:r>
        <w:rPr>
          <w:rFonts w:cstheme="minorHAnsi"/>
          <w:sz w:val="20"/>
          <w:szCs w:val="20"/>
          <w:shd w:val="clear" w:color="auto" w:fill="FFFFFF"/>
        </w:rPr>
        <w:t>Hachten</w:t>
      </w:r>
      <w:proofErr w:type="spellEnd"/>
      <w:r>
        <w:rPr>
          <w:rFonts w:cstheme="minorHAnsi"/>
          <w:sz w:val="20"/>
          <w:szCs w:val="20"/>
          <w:shd w:val="clear" w:color="auto" w:fill="FFFFFF"/>
        </w:rPr>
        <w:t>,</w:t>
      </w:r>
      <w:r w:rsidRPr="00542F3A">
        <w:rPr>
          <w:rFonts w:cstheme="minorHAnsi"/>
          <w:sz w:val="20"/>
          <w:szCs w:val="20"/>
          <w:shd w:val="clear" w:color="auto" w:fill="FFFFFF"/>
        </w:rPr>
        <w:t xml:space="preserve"> "Property Relations</w:t>
      </w:r>
      <w:r>
        <w:rPr>
          <w:rFonts w:cstheme="minorHAnsi"/>
          <w:sz w:val="20"/>
          <w:szCs w:val="20"/>
          <w:shd w:val="clear" w:color="auto" w:fill="FFFFFF"/>
        </w:rPr>
        <w:t>,” 150, 140, 155, 143-144.</w:t>
      </w:r>
    </w:p>
    <w:p w14:paraId="2089710A" w14:textId="77777777" w:rsidR="00C363E7" w:rsidRDefault="00C363E7" w:rsidP="005035A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427962"/>
      <w:docPartObj>
        <w:docPartGallery w:val="Page Numbers (Top of Page)"/>
        <w:docPartUnique/>
      </w:docPartObj>
    </w:sdtPr>
    <w:sdtEndPr>
      <w:rPr>
        <w:noProof/>
      </w:rPr>
    </w:sdtEndPr>
    <w:sdtContent>
      <w:p w14:paraId="341C339D" w14:textId="106B7A4F" w:rsidR="00AF4C42" w:rsidRDefault="00AF4C42">
        <w:pPr>
          <w:pStyle w:val="Header"/>
          <w:jc w:val="right"/>
        </w:pPr>
        <w:r>
          <w:fldChar w:fldCharType="begin"/>
        </w:r>
        <w:r>
          <w:instrText xml:space="preserve"> PAGE   \* MERGEFORMAT </w:instrText>
        </w:r>
        <w:r>
          <w:fldChar w:fldCharType="separate"/>
        </w:r>
        <w:r w:rsidR="006C0F5A">
          <w:rPr>
            <w:noProof/>
          </w:rPr>
          <w:t>12</w:t>
        </w:r>
        <w:r>
          <w:rPr>
            <w:noProof/>
          </w:rPr>
          <w:fldChar w:fldCharType="end"/>
        </w:r>
      </w:p>
    </w:sdtContent>
  </w:sdt>
  <w:p w14:paraId="38F4E780" w14:textId="77777777" w:rsidR="00AF4C42" w:rsidRDefault="00AF4C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C49"/>
    <w:rsid w:val="000106DE"/>
    <w:rsid w:val="000235C9"/>
    <w:rsid w:val="0002370F"/>
    <w:rsid w:val="000257FD"/>
    <w:rsid w:val="00030BAD"/>
    <w:rsid w:val="000642F0"/>
    <w:rsid w:val="000A0ED2"/>
    <w:rsid w:val="000B0BCB"/>
    <w:rsid w:val="000B4EF0"/>
    <w:rsid w:val="000C7148"/>
    <w:rsid w:val="00112EA3"/>
    <w:rsid w:val="001317B0"/>
    <w:rsid w:val="00132BFB"/>
    <w:rsid w:val="00145D1A"/>
    <w:rsid w:val="00153F65"/>
    <w:rsid w:val="00156082"/>
    <w:rsid w:val="00166406"/>
    <w:rsid w:val="001700BE"/>
    <w:rsid w:val="00184B9E"/>
    <w:rsid w:val="0019670E"/>
    <w:rsid w:val="001A0064"/>
    <w:rsid w:val="001A1693"/>
    <w:rsid w:val="001C2438"/>
    <w:rsid w:val="001C3F47"/>
    <w:rsid w:val="001E1B9E"/>
    <w:rsid w:val="00200803"/>
    <w:rsid w:val="002047ED"/>
    <w:rsid w:val="0024119A"/>
    <w:rsid w:val="00253F19"/>
    <w:rsid w:val="00282A0E"/>
    <w:rsid w:val="0028326A"/>
    <w:rsid w:val="002850CB"/>
    <w:rsid w:val="00286836"/>
    <w:rsid w:val="002A03E0"/>
    <w:rsid w:val="002A1D7B"/>
    <w:rsid w:val="002F113C"/>
    <w:rsid w:val="00301E4B"/>
    <w:rsid w:val="003040C0"/>
    <w:rsid w:val="00335753"/>
    <w:rsid w:val="003366A6"/>
    <w:rsid w:val="00371FA8"/>
    <w:rsid w:val="0038062D"/>
    <w:rsid w:val="00387AB3"/>
    <w:rsid w:val="00396D72"/>
    <w:rsid w:val="003C30F4"/>
    <w:rsid w:val="003C370C"/>
    <w:rsid w:val="003D2201"/>
    <w:rsid w:val="003D603F"/>
    <w:rsid w:val="003F68A7"/>
    <w:rsid w:val="00401F6F"/>
    <w:rsid w:val="0043323A"/>
    <w:rsid w:val="00437F87"/>
    <w:rsid w:val="00441D35"/>
    <w:rsid w:val="00466E22"/>
    <w:rsid w:val="004C2282"/>
    <w:rsid w:val="004E2324"/>
    <w:rsid w:val="004F0C3B"/>
    <w:rsid w:val="0050123E"/>
    <w:rsid w:val="005035A7"/>
    <w:rsid w:val="00504F13"/>
    <w:rsid w:val="00512232"/>
    <w:rsid w:val="0051733F"/>
    <w:rsid w:val="00522B30"/>
    <w:rsid w:val="00542F3A"/>
    <w:rsid w:val="00571F46"/>
    <w:rsid w:val="005763CD"/>
    <w:rsid w:val="00592583"/>
    <w:rsid w:val="005A78CA"/>
    <w:rsid w:val="005C390F"/>
    <w:rsid w:val="005D2C21"/>
    <w:rsid w:val="005D3C8C"/>
    <w:rsid w:val="005D46F3"/>
    <w:rsid w:val="005D75BA"/>
    <w:rsid w:val="005E4C32"/>
    <w:rsid w:val="005E50A8"/>
    <w:rsid w:val="005F5366"/>
    <w:rsid w:val="00610C03"/>
    <w:rsid w:val="0062285E"/>
    <w:rsid w:val="00631360"/>
    <w:rsid w:val="0066149A"/>
    <w:rsid w:val="00665BD9"/>
    <w:rsid w:val="00681FA0"/>
    <w:rsid w:val="00682C4B"/>
    <w:rsid w:val="006A0D62"/>
    <w:rsid w:val="006B0E6E"/>
    <w:rsid w:val="006C0F5A"/>
    <w:rsid w:val="006D6C10"/>
    <w:rsid w:val="006E4742"/>
    <w:rsid w:val="00700036"/>
    <w:rsid w:val="007018A9"/>
    <w:rsid w:val="00723A98"/>
    <w:rsid w:val="00724BE2"/>
    <w:rsid w:val="0074340E"/>
    <w:rsid w:val="00796C4D"/>
    <w:rsid w:val="007B6EF7"/>
    <w:rsid w:val="007D66EE"/>
    <w:rsid w:val="007F0C49"/>
    <w:rsid w:val="007F0E6F"/>
    <w:rsid w:val="007F3852"/>
    <w:rsid w:val="007F6331"/>
    <w:rsid w:val="00800479"/>
    <w:rsid w:val="008048D9"/>
    <w:rsid w:val="00837A13"/>
    <w:rsid w:val="00863B01"/>
    <w:rsid w:val="008710B9"/>
    <w:rsid w:val="00877C3D"/>
    <w:rsid w:val="00887304"/>
    <w:rsid w:val="008908EC"/>
    <w:rsid w:val="00891C6C"/>
    <w:rsid w:val="008A77D4"/>
    <w:rsid w:val="008B3468"/>
    <w:rsid w:val="008B7593"/>
    <w:rsid w:val="008E1E3C"/>
    <w:rsid w:val="008E5AE1"/>
    <w:rsid w:val="00910AF0"/>
    <w:rsid w:val="0091202E"/>
    <w:rsid w:val="00913582"/>
    <w:rsid w:val="00924B63"/>
    <w:rsid w:val="00926199"/>
    <w:rsid w:val="00982776"/>
    <w:rsid w:val="00985D6A"/>
    <w:rsid w:val="009869B6"/>
    <w:rsid w:val="00993C71"/>
    <w:rsid w:val="009A491B"/>
    <w:rsid w:val="009A7D64"/>
    <w:rsid w:val="009B5F6E"/>
    <w:rsid w:val="009B7FE5"/>
    <w:rsid w:val="009E2DCB"/>
    <w:rsid w:val="009F23B3"/>
    <w:rsid w:val="00A34349"/>
    <w:rsid w:val="00A40C24"/>
    <w:rsid w:val="00A73393"/>
    <w:rsid w:val="00AB033E"/>
    <w:rsid w:val="00AC4F18"/>
    <w:rsid w:val="00AD2D90"/>
    <w:rsid w:val="00AE2042"/>
    <w:rsid w:val="00AF4C42"/>
    <w:rsid w:val="00AF515E"/>
    <w:rsid w:val="00B003DE"/>
    <w:rsid w:val="00B00AE7"/>
    <w:rsid w:val="00B23180"/>
    <w:rsid w:val="00B27764"/>
    <w:rsid w:val="00B41CEF"/>
    <w:rsid w:val="00B63710"/>
    <w:rsid w:val="00B651F1"/>
    <w:rsid w:val="00B734A9"/>
    <w:rsid w:val="00BA3E4C"/>
    <w:rsid w:val="00BB48AB"/>
    <w:rsid w:val="00BD6167"/>
    <w:rsid w:val="00BE4D92"/>
    <w:rsid w:val="00BF44C9"/>
    <w:rsid w:val="00BF4DC1"/>
    <w:rsid w:val="00BF5E10"/>
    <w:rsid w:val="00BF6BEF"/>
    <w:rsid w:val="00C02D30"/>
    <w:rsid w:val="00C05160"/>
    <w:rsid w:val="00C153B5"/>
    <w:rsid w:val="00C363E7"/>
    <w:rsid w:val="00C36F47"/>
    <w:rsid w:val="00C4094B"/>
    <w:rsid w:val="00C83BAA"/>
    <w:rsid w:val="00C860FE"/>
    <w:rsid w:val="00C90462"/>
    <w:rsid w:val="00C91619"/>
    <w:rsid w:val="00CA1073"/>
    <w:rsid w:val="00CB1A7C"/>
    <w:rsid w:val="00CD78F8"/>
    <w:rsid w:val="00CE79A9"/>
    <w:rsid w:val="00D3221C"/>
    <w:rsid w:val="00D373E7"/>
    <w:rsid w:val="00D46C94"/>
    <w:rsid w:val="00D5113F"/>
    <w:rsid w:val="00D60D9B"/>
    <w:rsid w:val="00D646C4"/>
    <w:rsid w:val="00D75317"/>
    <w:rsid w:val="00D828F1"/>
    <w:rsid w:val="00D83D6B"/>
    <w:rsid w:val="00D90D34"/>
    <w:rsid w:val="00DA3F6C"/>
    <w:rsid w:val="00DF18EE"/>
    <w:rsid w:val="00E02244"/>
    <w:rsid w:val="00E167D6"/>
    <w:rsid w:val="00E31B01"/>
    <w:rsid w:val="00E36A98"/>
    <w:rsid w:val="00E37E26"/>
    <w:rsid w:val="00E471B2"/>
    <w:rsid w:val="00E51A64"/>
    <w:rsid w:val="00E635CF"/>
    <w:rsid w:val="00E643D6"/>
    <w:rsid w:val="00EA5499"/>
    <w:rsid w:val="00EB21DA"/>
    <w:rsid w:val="00EB55D7"/>
    <w:rsid w:val="00EC10E1"/>
    <w:rsid w:val="00EC1C3C"/>
    <w:rsid w:val="00EC4CC6"/>
    <w:rsid w:val="00F01D8B"/>
    <w:rsid w:val="00F03923"/>
    <w:rsid w:val="00F14183"/>
    <w:rsid w:val="00F246CA"/>
    <w:rsid w:val="00F6184E"/>
    <w:rsid w:val="00F658F1"/>
    <w:rsid w:val="00FA539E"/>
    <w:rsid w:val="00FD1156"/>
    <w:rsid w:val="00FE7EFD"/>
    <w:rsid w:val="00FF6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7DDEF"/>
  <w15:chartTrackingRefBased/>
  <w15:docId w15:val="{622C23F9-1995-40FB-93B5-65D7673D3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542F3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42F3A"/>
    <w:rPr>
      <w:sz w:val="20"/>
      <w:szCs w:val="20"/>
    </w:rPr>
  </w:style>
  <w:style w:type="character" w:styleId="EndnoteReference">
    <w:name w:val="endnote reference"/>
    <w:basedOn w:val="DefaultParagraphFont"/>
    <w:uiPriority w:val="99"/>
    <w:semiHidden/>
    <w:unhideWhenUsed/>
    <w:rsid w:val="00542F3A"/>
    <w:rPr>
      <w:vertAlign w:val="superscript"/>
    </w:rPr>
  </w:style>
  <w:style w:type="paragraph" w:styleId="Header">
    <w:name w:val="header"/>
    <w:basedOn w:val="Normal"/>
    <w:link w:val="HeaderChar"/>
    <w:uiPriority w:val="99"/>
    <w:unhideWhenUsed/>
    <w:rsid w:val="007000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036"/>
  </w:style>
  <w:style w:type="paragraph" w:styleId="Footer">
    <w:name w:val="footer"/>
    <w:basedOn w:val="Normal"/>
    <w:link w:val="FooterChar"/>
    <w:uiPriority w:val="99"/>
    <w:unhideWhenUsed/>
    <w:rsid w:val="007000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036"/>
  </w:style>
  <w:style w:type="paragraph" w:styleId="FootnoteText">
    <w:name w:val="footnote text"/>
    <w:basedOn w:val="Normal"/>
    <w:link w:val="FootnoteTextChar"/>
    <w:uiPriority w:val="99"/>
    <w:semiHidden/>
    <w:unhideWhenUsed/>
    <w:rsid w:val="00C363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63E7"/>
    <w:rPr>
      <w:sz w:val="20"/>
      <w:szCs w:val="20"/>
    </w:rPr>
  </w:style>
  <w:style w:type="character" w:styleId="FootnoteReference">
    <w:name w:val="footnote reference"/>
    <w:basedOn w:val="DefaultParagraphFont"/>
    <w:uiPriority w:val="99"/>
    <w:semiHidden/>
    <w:unhideWhenUsed/>
    <w:rsid w:val="00C363E7"/>
    <w:rPr>
      <w:vertAlign w:val="superscript"/>
    </w:rPr>
  </w:style>
  <w:style w:type="character" w:styleId="CommentReference">
    <w:name w:val="annotation reference"/>
    <w:basedOn w:val="DefaultParagraphFont"/>
    <w:uiPriority w:val="99"/>
    <w:semiHidden/>
    <w:unhideWhenUsed/>
    <w:rsid w:val="00681FA0"/>
    <w:rPr>
      <w:sz w:val="16"/>
      <w:szCs w:val="16"/>
    </w:rPr>
  </w:style>
  <w:style w:type="paragraph" w:styleId="CommentText">
    <w:name w:val="annotation text"/>
    <w:basedOn w:val="Normal"/>
    <w:link w:val="CommentTextChar"/>
    <w:uiPriority w:val="99"/>
    <w:semiHidden/>
    <w:unhideWhenUsed/>
    <w:rsid w:val="00681FA0"/>
    <w:pPr>
      <w:spacing w:line="240" w:lineRule="auto"/>
    </w:pPr>
    <w:rPr>
      <w:sz w:val="20"/>
      <w:szCs w:val="20"/>
    </w:rPr>
  </w:style>
  <w:style w:type="character" w:customStyle="1" w:styleId="CommentTextChar">
    <w:name w:val="Comment Text Char"/>
    <w:basedOn w:val="DefaultParagraphFont"/>
    <w:link w:val="CommentText"/>
    <w:uiPriority w:val="99"/>
    <w:semiHidden/>
    <w:rsid w:val="00681FA0"/>
    <w:rPr>
      <w:sz w:val="20"/>
      <w:szCs w:val="20"/>
    </w:rPr>
  </w:style>
  <w:style w:type="paragraph" w:styleId="CommentSubject">
    <w:name w:val="annotation subject"/>
    <w:basedOn w:val="CommentText"/>
    <w:next w:val="CommentText"/>
    <w:link w:val="CommentSubjectChar"/>
    <w:uiPriority w:val="99"/>
    <w:semiHidden/>
    <w:unhideWhenUsed/>
    <w:rsid w:val="00681FA0"/>
    <w:rPr>
      <w:b/>
      <w:bCs/>
    </w:rPr>
  </w:style>
  <w:style w:type="character" w:customStyle="1" w:styleId="CommentSubjectChar">
    <w:name w:val="Comment Subject Char"/>
    <w:basedOn w:val="CommentTextChar"/>
    <w:link w:val="CommentSubject"/>
    <w:uiPriority w:val="99"/>
    <w:semiHidden/>
    <w:rsid w:val="00681FA0"/>
    <w:rPr>
      <w:b/>
      <w:bCs/>
      <w:sz w:val="20"/>
      <w:szCs w:val="20"/>
    </w:rPr>
  </w:style>
  <w:style w:type="paragraph" w:styleId="BalloonText">
    <w:name w:val="Balloon Text"/>
    <w:basedOn w:val="Normal"/>
    <w:link w:val="BalloonTextChar"/>
    <w:uiPriority w:val="99"/>
    <w:semiHidden/>
    <w:unhideWhenUsed/>
    <w:rsid w:val="00681F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F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5ACF706-55FF-4B52-A18B-308EB501C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13994</TotalTime>
  <Pages>12</Pages>
  <Words>2799</Words>
  <Characters>15957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Windows User</cp:lastModifiedBy>
  <cp:revision>167</cp:revision>
  <dcterms:created xsi:type="dcterms:W3CDTF">2019-10-30T18:21:00Z</dcterms:created>
  <dcterms:modified xsi:type="dcterms:W3CDTF">2019-12-11T18:04:00Z</dcterms:modified>
</cp:coreProperties>
</file>